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W6L3 | Transport card sort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Friday | 09:30–10:10 | Do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Ask: what moves, which way compared with the gradient, and is cellular energy needed? If a clue is missing, say what more you need to know.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Cut the four scenario cards or number them on paper; a seated route works equally well.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A. Oxygen has a higher concentration in alveolar air than in arriving blood. It moves into blood.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B. Water enters a root cell from a solution more dilute than the cell solution, through a partially permeable membrane.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W6L3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C. Mineral ions enter a root cell against their gradient; uptake requires energy from respiration.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D. A substance crosses a cell membrane. No other information is given.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Write one similarity and two linked differences between diffusion and active transport.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Transport scenario cards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Place, number or point; cutting is optional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Sort into diffusion, osmosis, active transport or need more evidence. Give the deciding clue.</w:t>
      </w:r>
    </w:p>
    <w:p>
      <w:pPr>
        <w:spacing w:after="140"/>
      </w:pPr>
      <w:r>
        <w:rPr>
          <w:rFonts w:ascii="Arial" w:hAnsi="Arial" w:eastAsia="Arial" w:cs="Arial"/>
          <w:color w:val="26324A"/>
          <w:sz w:val="22"/>
        </w:rPr>
        <w:t>Sort each card. Give the deciding clue before naming the process.</w:t>
      </w:r>
    </w:p>
    <w:tbl>
      <w:tblPr>
        <w:tblLayout w:type="fixed"/>
        <w:tblLook w:firstColumn="1" w:firstRow="1" w:lastColumn="0" w:lastRow="0" w:noHBand="0" w:noVBand="1" w:val="04A0"/>
        <w:tblW w:w="9986" w:type="dxa"/>
        <w:tblInd w:w="100" w:type="dxa"/>
        <w:tblCellMar>
          <w:top w:w="90" w:type="dxa"/>
          <w:bottom w:w="90" w:type="dxa"/>
          <w:left w:w="100" w:type="dxa"/>
          <w:right w:w="100" w:type="dxa"/>
        </w:tblCellMar>
        <w:tblBorders>
          <w:top w:val="single" w:sz="4" w:color="D5CEDF"/>
          <w:left w:val="single" w:sz="4" w:color="D5CEDF"/>
          <w:bottom w:val="single" w:sz="4" w:color="D5CEDF"/>
          <w:right w:val="single" w:sz="4" w:color="D5CEDF"/>
          <w:insideH w:val="single" w:sz="4" w:color="D5CEDF"/>
          <w:insideV w:val="single" w:sz="4" w:color="D5CEDF"/>
        </w:tblBorders>
      </w:tblPr>
      <w:tblGrid>
        <w:gridCol w:w="2496"/>
        <w:gridCol w:w="2496"/>
        <w:gridCol w:w="2496"/>
        <w:gridCol w:w="2498"/>
      </w:tblGrid>
      <w:tr>
        <w:trPr>
          <w:cantSplit/>
          <w:tblHeader/>
        </w:trPr>
        <w:tc>
          <w:tcPr>
            <w:tcW w:type="dxa" w:w="2496"/>
            <w:vAlign w:val="center"/>
            <w:shd w:fill="101C38"/>
          </w:tcPr>
          <w:p>
            <w:pPr>
              <w:spacing w:before="0" w:after="2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Diffusion</w:t>
            </w:r>
          </w:p>
        </w:tc>
        <w:tc>
          <w:tcPr>
            <w:tcW w:type="dxa" w:w="2496"/>
            <w:vAlign w:val="center"/>
            <w:shd w:fill="101C38"/>
          </w:tcPr>
          <w:p>
            <w:pPr>
              <w:spacing w:before="0" w:after="2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Osmosis</w:t>
            </w:r>
          </w:p>
        </w:tc>
        <w:tc>
          <w:tcPr>
            <w:tcW w:type="dxa" w:w="2496"/>
            <w:vAlign w:val="center"/>
            <w:shd w:fill="101C38"/>
          </w:tcPr>
          <w:p>
            <w:pPr>
              <w:spacing w:before="0" w:after="2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Active transport</w:t>
            </w:r>
          </w:p>
        </w:tc>
        <w:tc>
          <w:tcPr>
            <w:tcW w:type="dxa" w:w="2498"/>
            <w:vAlign w:val="center"/>
            <w:shd w:fill="101C38"/>
          </w:tcPr>
          <w:p>
            <w:pPr>
              <w:spacing w:before="0" w:after="2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Need more evidence</w:t>
            </w:r>
          </w:p>
        </w:tc>
      </w:tr>
      <w:tr>
        <w:trPr>
          <w:cantSplit/>
          <w:trHeight w:val="400" w:hRule="atLeast"/>
        </w:trPr>
        <w:tc>
          <w:tcPr>
            <w:tcW w:type="dxa" w:w="2496"/>
            <w:vAlign w:val="center"/>
            <w:shd w:fill="FFFFFF"/>
          </w:tcPr>
          <w:p>
            <w:pPr>
              <w:spacing w:before="0" w:after="20" w:line="259" w:lineRule="auto"/>
            </w:pPr>
          </w:p>
        </w:tc>
        <w:tc>
          <w:tcPr>
            <w:tcW w:type="dxa" w:w="2496"/>
            <w:vAlign w:val="center"/>
            <w:shd w:fill="FFFFFF"/>
          </w:tcPr>
          <w:p>
            <w:pPr>
              <w:spacing w:before="0" w:after="20" w:line="259" w:lineRule="auto"/>
            </w:pPr>
          </w:p>
        </w:tc>
        <w:tc>
          <w:tcPr>
            <w:tcW w:type="dxa" w:w="2496"/>
            <w:vAlign w:val="center"/>
            <w:shd w:fill="FFFFFF"/>
          </w:tcPr>
          <w:p>
            <w:pPr>
              <w:spacing w:before="0" w:after="20" w:line="259" w:lineRule="auto"/>
            </w:pPr>
          </w:p>
        </w:tc>
        <w:tc>
          <w:tcPr>
            <w:tcW w:type="dxa" w:w="2498"/>
            <w:vAlign w:val="center"/>
            <w:shd w:fill="FFFFFF"/>
          </w:tcPr>
          <w:p>
            <w:pPr>
              <w:spacing w:before="0" w:after="20" w:line="259" w:lineRule="auto"/>
            </w:pPr>
          </w:p>
        </w:tc>
      </w:tr>
    </w:tbl>
    <w:p>
      <w:pPr>
        <w:spacing w:after="100" w:line="60" w:lineRule="exact"/>
      </w:pPr>
    </w:p>
    <w:tbl>
      <w:tblPr>
        <w:tblLayout w:type="fixed"/>
        <w:tblLook w:firstColumn="1" w:firstRow="1" w:lastColumn="0" w:lastRow="0" w:noHBand="0" w:noVBand="1" w:val="04A0"/>
        <w:tblW w:w="9986" w:type="dxa"/>
        <w:tblInd w:w="100" w:type="dxa"/>
        <w:tblCellMar>
          <w:top w:w="90" w:type="dxa"/>
          <w:bottom w:w="90" w:type="dxa"/>
          <w:left w:w="100" w:type="dxa"/>
          <w:right w:w="100" w:type="dxa"/>
        </w:tblCellMar>
        <w:tblBorders>
          <w:top w:val="single" w:sz="4" w:color="D5CEDF"/>
          <w:left w:val="single" w:sz="4" w:color="D5CEDF"/>
          <w:bottom w:val="single" w:sz="4" w:color="D5CEDF"/>
          <w:right w:val="single" w:sz="4" w:color="D5CEDF"/>
          <w:insideH w:val="single" w:sz="4" w:color="D5CEDF"/>
          <w:insideV w:val="single" w:sz="4" w:color="D5CEDF"/>
        </w:tblBorders>
      </w:tblPr>
      <w:tblGrid>
        <w:gridCol w:w="4993"/>
        <w:gridCol w:w="4993"/>
      </w:tblGrid>
      <w:tr>
        <w:trPr>
          <w:cantSplit/>
          <w:trHeight w:val="2360" w:hRule="atLeast"/>
          <w:tblHeader/>
        </w:trPr>
        <w:tc>
          <w:tcPr>
            <w:tcW w:type="dxa" w:w="4993"/>
            <w:vAlign w:val="top"/>
            <w:shd w:fill="F3EFF7"/>
          </w:tcPr>
          <w:p>
            <w:pPr>
              <w:spacing w:before="160" w:after="160" w:line="276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2"/>
              </w:rPr>
              <w:t>A. Oxygen has a higher concentration in alveolar air than in arriving blood. It moves into blood.</w:t>
            </w:r>
          </w:p>
        </w:tc>
        <w:tc>
          <w:tcPr>
            <w:tcW w:type="dxa" w:w="4993"/>
            <w:vAlign w:val="top"/>
            <w:shd w:fill="F3EFF7"/>
          </w:tcPr>
          <w:p>
            <w:pPr>
              <w:spacing w:before="160" w:after="160" w:line="276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2"/>
              </w:rPr>
              <w:t>B. Water enters a root cell from a solution more dilute than the cell solution, through a partially permeable membrane.</w:t>
            </w:r>
          </w:p>
        </w:tc>
      </w:tr>
      <w:tr>
        <w:trPr>
          <w:cantSplit/>
          <w:trHeight w:val="2360" w:hRule="atLeast"/>
        </w:trPr>
        <w:tc>
          <w:tcPr>
            <w:tcW w:type="dxa" w:w="4993"/>
            <w:vAlign w:val="top"/>
            <w:shd w:fill="FFFFFF"/>
          </w:tcPr>
          <w:p>
            <w:pPr>
              <w:spacing w:before="160" w:after="160" w:line="276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2"/>
              </w:rPr>
              <w:t>C. Mineral ions enter a root cell against their gradient; uptake requires energy from respiration.</w:t>
            </w:r>
          </w:p>
        </w:tc>
        <w:tc>
          <w:tcPr>
            <w:tcW w:type="dxa" w:w="4993"/>
            <w:vAlign w:val="top"/>
            <w:shd w:fill="FFFFFF"/>
          </w:tcPr>
          <w:p>
            <w:pPr>
              <w:spacing w:before="160" w:after="160" w:line="276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2"/>
              </w:rPr>
              <w:t>D. A substance crosses a cell membrane. No other information is given.</w:t>
            </w:r>
          </w:p>
        </w:tc>
      </w:tr>
    </w:tbl>
    <w:p>
      <w:pPr>
        <w:pStyle w:val="Heading2"/>
        <w:spacing w:before="200"/>
      </w:pPr>
      <w:r>
        <w:rPr>
          <w:rFonts w:ascii="Arial" w:hAnsi="Arial" w:eastAsia="Arial" w:cs="Arial"/>
          <w:b/>
          <w:color w:val="7A5C9E"/>
          <w:sz w:val="26"/>
        </w:rPr>
        <w:t>My deciding clues</w:t>
      </w:r>
    </w:p>
    <w:p>
      <w:pPr>
        <w:spacing w:after="0" w:line="320" w:lineRule="exact"/>
        <w:pBdr>
          <w:bottom w:val="single" w:sz="3" w:color="D5CEDF"/>
          <w:between w:val="single" w:sz="3" w:color="D5CEDF"/>
        </w:pBdr>
      </w:pPr>
    </w:p>
    <w:p>
      <w:pPr>
        <w:spacing w:after="0" w:line="320" w:lineRule="exact"/>
        <w:pBdr>
          <w:bottom w:val="single" w:sz="3" w:color="D5CEDF"/>
          <w:between w:val="single" w:sz="3" w:color="D5CEDF"/>
        </w:pBdr>
      </w:pPr>
    </w:p>
    <w:p>
      <w:pPr>
        <w:spacing w:after="0" w:line="320" w:lineRule="exact"/>
        <w:pBdr>
          <w:bottom w:val="single" w:sz="3" w:color="D5CEDF"/>
          <w:between w:val="single" w:sz="3" w:color="D5CEDF"/>
        </w:pBdr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W6L3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