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hd w:val="clear" w:fill="EDF5F0"/>
        <w:pBdr>
          <w:left w:val="single" w:sz="16" w:color="28675C" w:space="5"/>
        </w:pBdr>
        <w:ind w:left="91"/>
      </w:pPr>
      <w:r>
        <w:t>PUPIL WORKSHEET</w:t>
      </w:r>
    </w:p>
    <w:p>
      <w:pPr>
        <w:pStyle w:val="Title"/>
      </w:pPr>
      <w:r>
        <w:t>Build and challenge an orbit model</w:t>
      </w:r>
    </w:p>
    <w:p>
      <w:pPr>
        <w:pStyle w:val="Subtitle"/>
      </w:pPr>
      <w:r>
        <w:t>Autumn 1 · Week 6 · Lesson B</w:t>
      </w:r>
    </w:p>
    <w:p>
      <w:pPr>
        <w:pStyle w:val="Callout"/>
        <w:shd w:fill="EDF5F0" w:val="clear"/>
        <w:pBdr>
          <w:left w:val="single" w:sz="20" w:color="28675C" w:space="7"/>
        </w:pBdr>
      </w:pPr>
      <w:r>
        <w:t>Describe Earth and the other planets orbiting the Sun: order eight planets, group rocky/giant planets, and explain the Sun's inward gravitational pull.</w:t>
      </w:r>
    </w:p>
    <w:p>
      <w:r>
        <w:t>Tuesday ·40 minutes: 32-minute workshop,4-minute pupil feedback,4-minute exit. Name:________________ Date:________________. Build a model, use the given year data and explain its limits.</w:t>
      </w:r>
    </w:p>
    <w:p>
      <w:pPr>
        <w:pStyle w:val="Heading1"/>
      </w:pPr>
      <w:r>
        <w:t>1. Retrieve and choose your model ·4 min</w:t>
      </w:r>
    </w:p>
    <w:p>
      <w:r>
        <w:t>Retrieve Mercury, Venus, Earth, Mars, Jupiter, Saturn, Uranus, Neptune in order. Choose counters, a drawing or directing an adult. Set out the Sun, Earth and two labelled arrows.</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6 · Lesson B</w:t>
      </w:r>
    </w:p>
    <w:p>
      <w:pPr>
        <w:pStyle w:val="Title"/>
      </w:pPr>
      <w:r>
        <w:t>2. Model and compare ·20 min</w:t>
      </w:r>
    </w:p>
    <w:p>
      <w:pPr>
        <w:pStyle w:val="Subtitle"/>
      </w:pPr>
      <w:r>
        <w:t>Write, draw, point or dictate as agreed with your teacher.</w:t>
      </w:r>
    </w:p>
    <w:p>
      <w:r>
        <w:t>Show Earth in two positions. At each, point gravity towards the Sun and motion along the path. Use the supplied values to predict which planet in your pair takes longer. Check the prediction against the numbers. Supported: use Earth/Mars. Standard: use two pairs. Stretch: test the farther-out/longer-year pattern and explain a model limit.</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4933"/>
        <w:gridCol w:w="4933"/>
      </w:tblGrid>
      <w:tr>
        <w:trPr>
          <w:cantSplit/>
          <w:tblHeader/>
        </w:trPr>
        <w:tc>
          <w:tcPr>
            <w:vAlign w:val="center"/>
            <w:tcW w:w="4933" w:type="dxa"/>
            <w:shd w:fill="28675C" w:val="clear"/>
          </w:tcPr>
          <w:p>
            <w:pPr>
              <w:spacing w:after="60" w:before="0" w:line="257" w:lineRule="auto"/>
            </w:pPr>
            <w:r>
              <w:rPr>
                <w:rFonts w:ascii="Arial" w:hAnsi="Arial"/>
                <w:b/>
                <w:color w:val="FFFFFF"/>
                <w:sz w:val="22"/>
              </w:rPr>
              <w:t>Planet</w:t>
            </w:r>
          </w:p>
        </w:tc>
        <w:tc>
          <w:tcPr>
            <w:vAlign w:val="center"/>
            <w:tcW w:w="4933" w:type="dxa"/>
            <w:shd w:fill="28675C" w:val="clear"/>
          </w:tcPr>
          <w:p>
            <w:pPr>
              <w:spacing w:after="60" w:before="0" w:line="257" w:lineRule="auto"/>
            </w:pPr>
            <w:r>
              <w:rPr>
                <w:rFonts w:ascii="Arial" w:hAnsi="Arial"/>
                <w:b/>
                <w:color w:val="FFFFFF"/>
                <w:sz w:val="22"/>
              </w:rPr>
              <w:t>Approximate orbital period / Earth days</w:t>
            </w:r>
          </w:p>
        </w:tc>
      </w:tr>
      <w:tr>
        <w:trPr>
          <w:cantSplit/>
          <w:trHeight w:val="567" w:hRule="atLeast"/>
        </w:trPr>
        <w:tc>
          <w:tcPr>
            <w:vAlign w:val="center"/>
            <w:tcW w:w="4933" w:type="dxa"/>
            <w:shd w:val="clear" w:fill="EDF5F0"/>
          </w:tcPr>
          <w:p>
            <w:pPr>
              <w:spacing w:after="60" w:before="0" w:line="257" w:lineRule="auto"/>
            </w:pPr>
            <w:r>
              <w:rPr>
                <w:rFonts w:ascii="Arial" w:hAnsi="Arial"/>
                <w:b w:val="0"/>
                <w:color w:val="243943"/>
                <w:sz w:val="22"/>
              </w:rPr>
              <w:t>Mercury</w:t>
            </w:r>
          </w:p>
        </w:tc>
        <w:tc>
          <w:tcPr>
            <w:vAlign w:val="center"/>
            <w:tcW w:w="4933" w:type="dxa"/>
            <w:shd w:val="clear" w:fill="EDF5F0"/>
          </w:tcPr>
          <w:p>
            <w:pPr>
              <w:spacing w:after="60" w:before="0" w:line="257" w:lineRule="auto"/>
            </w:pPr>
            <w:r>
              <w:rPr>
                <w:rFonts w:ascii="Arial" w:hAnsi="Arial"/>
                <w:b w:val="0"/>
                <w:color w:val="243943"/>
                <w:sz w:val="22"/>
              </w:rPr>
              <w:t>88</w:t>
            </w:r>
          </w:p>
        </w:tc>
      </w:tr>
      <w:tr>
        <w:trPr>
          <w:cantSplit/>
          <w:trHeight w:val="567" w:hRule="atLeast"/>
        </w:trPr>
        <w:tc>
          <w:tcPr>
            <w:vAlign w:val="center"/>
            <w:tcW w:w="4933" w:type="dxa"/>
            <w:shd w:val="clear" w:fill="FFFFFF"/>
          </w:tcPr>
          <w:p>
            <w:pPr>
              <w:spacing w:after="60" w:before="0" w:line="257" w:lineRule="auto"/>
            </w:pPr>
            <w:r>
              <w:rPr>
                <w:rFonts w:ascii="Arial" w:hAnsi="Arial"/>
                <w:b w:val="0"/>
                <w:color w:val="243943"/>
                <w:sz w:val="22"/>
              </w:rPr>
              <w:t>Earth</w:t>
            </w:r>
          </w:p>
        </w:tc>
        <w:tc>
          <w:tcPr>
            <w:vAlign w:val="center"/>
            <w:tcW w:w="4933" w:type="dxa"/>
            <w:shd w:val="clear" w:fill="FFFFFF"/>
          </w:tcPr>
          <w:p>
            <w:pPr>
              <w:spacing w:after="60" w:before="0" w:line="257" w:lineRule="auto"/>
            </w:pPr>
            <w:r>
              <w:rPr>
                <w:rFonts w:ascii="Arial" w:hAnsi="Arial"/>
                <w:b w:val="0"/>
                <w:color w:val="243943"/>
                <w:sz w:val="22"/>
              </w:rPr>
              <w:t>365</w:t>
            </w:r>
          </w:p>
        </w:tc>
      </w:tr>
      <w:tr>
        <w:trPr>
          <w:cantSplit/>
          <w:trHeight w:val="567" w:hRule="atLeast"/>
        </w:trPr>
        <w:tc>
          <w:tcPr>
            <w:vAlign w:val="center"/>
            <w:tcW w:w="4933" w:type="dxa"/>
            <w:shd w:val="clear" w:fill="EDF5F0"/>
          </w:tcPr>
          <w:p>
            <w:pPr>
              <w:spacing w:after="60" w:before="0" w:line="257" w:lineRule="auto"/>
            </w:pPr>
            <w:r>
              <w:rPr>
                <w:rFonts w:ascii="Arial" w:hAnsi="Arial"/>
                <w:b w:val="0"/>
                <w:color w:val="243943"/>
                <w:sz w:val="22"/>
              </w:rPr>
              <w:t>Mars</w:t>
            </w:r>
          </w:p>
        </w:tc>
        <w:tc>
          <w:tcPr>
            <w:vAlign w:val="center"/>
            <w:tcW w:w="4933" w:type="dxa"/>
            <w:shd w:val="clear" w:fill="EDF5F0"/>
          </w:tcPr>
          <w:p>
            <w:pPr>
              <w:spacing w:after="60" w:before="0" w:line="257" w:lineRule="auto"/>
            </w:pPr>
            <w:r>
              <w:rPr>
                <w:rFonts w:ascii="Arial" w:hAnsi="Arial"/>
                <w:b w:val="0"/>
                <w:color w:val="243943"/>
                <w:sz w:val="22"/>
              </w:rPr>
              <w:t>687</w:t>
            </w:r>
          </w:p>
        </w:tc>
      </w:tr>
      <w:tr>
        <w:trPr>
          <w:cantSplit/>
          <w:trHeight w:val="567" w:hRule="atLeast"/>
        </w:trPr>
        <w:tc>
          <w:tcPr>
            <w:vAlign w:val="center"/>
            <w:tcW w:w="4933" w:type="dxa"/>
            <w:shd w:val="clear" w:fill="FFFFFF"/>
          </w:tcPr>
          <w:p>
            <w:pPr>
              <w:spacing w:after="60" w:before="0" w:line="257" w:lineRule="auto"/>
            </w:pPr>
            <w:r>
              <w:rPr>
                <w:rFonts w:ascii="Arial" w:hAnsi="Arial"/>
                <w:b w:val="0"/>
                <w:color w:val="243943"/>
                <w:sz w:val="22"/>
              </w:rPr>
              <w:t>Jupiter</w:t>
            </w:r>
          </w:p>
        </w:tc>
        <w:tc>
          <w:tcPr>
            <w:vAlign w:val="center"/>
            <w:tcW w:w="4933" w:type="dxa"/>
            <w:shd w:val="clear" w:fill="FFFFFF"/>
          </w:tcPr>
          <w:p>
            <w:pPr>
              <w:spacing w:after="60" w:before="0" w:line="257" w:lineRule="auto"/>
            </w:pPr>
            <w:r>
              <w:rPr>
                <w:rFonts w:ascii="Arial" w:hAnsi="Arial"/>
                <w:b w:val="0"/>
                <w:color w:val="243943"/>
                <w:sz w:val="22"/>
              </w:rPr>
              <w:t>4,333</w:t>
            </w:r>
          </w:p>
        </w:tc>
      </w:tr>
      <w:tr>
        <w:trPr>
          <w:cantSplit/>
          <w:trHeight w:val="567" w:hRule="atLeast"/>
        </w:trPr>
        <w:tc>
          <w:tcPr>
            <w:vAlign w:val="center"/>
            <w:tcW w:w="4933" w:type="dxa"/>
            <w:shd w:val="clear" w:fill="EDF5F0"/>
          </w:tcPr>
          <w:p>
            <w:pPr>
              <w:spacing w:after="60" w:before="0" w:line="257" w:lineRule="auto"/>
            </w:pPr>
            <w:r>
              <w:rPr>
                <w:rFonts w:ascii="Arial" w:hAnsi="Arial"/>
                <w:b w:val="0"/>
                <w:color w:val="243943"/>
                <w:sz w:val="22"/>
              </w:rPr>
              <w:t>Neptune</w:t>
            </w:r>
          </w:p>
        </w:tc>
        <w:tc>
          <w:tcPr>
            <w:vAlign w:val="center"/>
            <w:tcW w:w="4933" w:type="dxa"/>
            <w:shd w:val="clear" w:fill="EDF5F0"/>
          </w:tcPr>
          <w:p>
            <w:pPr>
              <w:spacing w:after="60" w:before="0" w:line="257" w:lineRule="auto"/>
            </w:pPr>
            <w:r>
              <w:rPr>
                <w:rFonts w:ascii="Arial" w:hAnsi="Arial"/>
                <w:b w:val="0"/>
                <w:color w:val="243943"/>
                <w:sz w:val="22"/>
              </w:rPr>
              <w:t>60,190</w:t>
            </w:r>
          </w:p>
        </w:tc>
      </w:tr>
    </w:tbl>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Heading1"/>
      </w:pPr>
      <w:r>
        <w:t>3. Record the comparison</w:t>
      </w:r>
    </w:p>
    <w:p>
      <w:r>
        <w:t>Keep the units. Complete one row supported or two standard: _____ has the longer year because_____ days is greater than_____ days.</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3288"/>
        <w:gridCol w:w="3288"/>
        <w:gridCol w:w="3290"/>
      </w:tblGrid>
      <w:tr>
        <w:trPr>
          <w:cantSplit/>
          <w:tblHeader/>
        </w:trPr>
        <w:tc>
          <w:tcPr>
            <w:vAlign w:val="center"/>
            <w:tcW w:w="3288" w:type="dxa"/>
            <w:shd w:fill="28675C" w:val="clear"/>
          </w:tcPr>
          <w:p>
            <w:pPr>
              <w:spacing w:after="60" w:before="0" w:line="257" w:lineRule="auto"/>
            </w:pPr>
            <w:r>
              <w:rPr>
                <w:rFonts w:ascii="Arial" w:hAnsi="Arial"/>
                <w:b/>
                <w:color w:val="FFFFFF"/>
                <w:sz w:val="22"/>
              </w:rPr>
              <w:t>My planet pair</w:t>
            </w:r>
          </w:p>
        </w:tc>
        <w:tc>
          <w:tcPr>
            <w:vAlign w:val="center"/>
            <w:tcW w:w="3288" w:type="dxa"/>
            <w:shd w:fill="28675C" w:val="clear"/>
          </w:tcPr>
          <w:p>
            <w:pPr>
              <w:spacing w:after="60" w:before="0" w:line="257" w:lineRule="auto"/>
            </w:pPr>
            <w:r>
              <w:rPr>
                <w:rFonts w:ascii="Arial" w:hAnsi="Arial"/>
                <w:b/>
                <w:color w:val="FFFFFF"/>
                <w:sz w:val="22"/>
              </w:rPr>
              <w:t>Longer year and numerical evidence</w:t>
            </w:r>
          </w:p>
        </w:tc>
        <w:tc>
          <w:tcPr>
            <w:vAlign w:val="center"/>
            <w:tcW w:w="3290" w:type="dxa"/>
            <w:shd w:fill="28675C" w:val="clear"/>
          </w:tcPr>
          <w:p>
            <w:pPr>
              <w:spacing w:after="60" w:before="0" w:line="257" w:lineRule="auto"/>
            </w:pPr>
            <w:r>
              <w:rPr>
                <w:rFonts w:ascii="Arial" w:hAnsi="Arial"/>
                <w:b/>
                <w:color w:val="FFFFFF"/>
                <w:sz w:val="22"/>
              </w:rPr>
              <w:t>Which completes one orbit first?</w:t>
            </w:r>
          </w:p>
        </w:tc>
      </w:tr>
      <w:tr>
        <w:trPr>
          <w:cantSplit/>
          <w:trHeight w:val="780" w:hRule="atLeast"/>
        </w:trPr>
        <w:tc>
          <w:tcPr>
            <w:vAlign w:val="center"/>
            <w:tcW w:w="3288" w:type="dxa"/>
            <w:shd w:val="clear" w:fill="FFFFFF"/>
          </w:tcPr>
          <w:p>
            <w:pPr>
              <w:spacing w:after="60" w:before="0" w:line="257" w:lineRule="auto"/>
            </w:pPr>
            <w:r>
              <w:rPr>
                <w:rFonts w:ascii="Arial" w:hAnsi="Arial"/>
                <w:b w:val="0"/>
                <w:color w:val="243943"/>
                <w:sz w:val="22"/>
              </w:rPr>
            </w:r>
          </w:p>
        </w:tc>
        <w:tc>
          <w:tcPr>
            <w:vAlign w:val="center"/>
            <w:tcW w:w="3288" w:type="dxa"/>
            <w:shd w:val="clear" w:fill="FFFFFF"/>
          </w:tcPr>
          <w:p>
            <w:pPr>
              <w:spacing w:after="60" w:before="0" w:line="257" w:lineRule="auto"/>
            </w:pPr>
            <w:r>
              <w:rPr>
                <w:rFonts w:ascii="Arial" w:hAnsi="Arial"/>
                <w:b w:val="0"/>
                <w:color w:val="243943"/>
                <w:sz w:val="22"/>
              </w:rPr>
            </w:r>
          </w:p>
        </w:tc>
        <w:tc>
          <w:tcPr>
            <w:vAlign w:val="center"/>
            <w:tcW w:w="329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3288" w:type="dxa"/>
            <w:shd w:val="clear" w:fill="FFFFFF"/>
          </w:tcPr>
          <w:p>
            <w:pPr>
              <w:spacing w:after="60" w:before="0" w:line="257" w:lineRule="auto"/>
            </w:pPr>
            <w:r>
              <w:rPr>
                <w:rFonts w:ascii="Arial" w:hAnsi="Arial"/>
                <w:b w:val="0"/>
                <w:color w:val="243943"/>
                <w:sz w:val="22"/>
              </w:rPr>
            </w:r>
          </w:p>
        </w:tc>
        <w:tc>
          <w:tcPr>
            <w:vAlign w:val="center"/>
            <w:tcW w:w="3288" w:type="dxa"/>
            <w:shd w:val="clear" w:fill="FFFFFF"/>
          </w:tcPr>
          <w:p>
            <w:pPr>
              <w:spacing w:after="60" w:before="0" w:line="257" w:lineRule="auto"/>
            </w:pPr>
            <w:r>
              <w:rPr>
                <w:rFonts w:ascii="Arial" w:hAnsi="Arial"/>
                <w:b w:val="0"/>
                <w:color w:val="243943"/>
                <w:sz w:val="22"/>
              </w:rPr>
            </w:r>
          </w:p>
        </w:tc>
        <w:tc>
          <w:tcPr>
            <w:vAlign w:val="center"/>
            <w:tcW w:w="3290" w:type="dxa"/>
            <w:shd w:val="clear" w:fill="FFFFFF"/>
          </w:tcPr>
          <w:p>
            <w:pPr>
              <w:spacing w:after="60" w:before="0" w:line="257" w:lineRule="auto"/>
            </w:pPr>
            <w:r>
              <w:rPr>
                <w:rFonts w:ascii="Arial" w:hAnsi="Arial"/>
                <w:b w:val="0"/>
                <w:color w:val="243943"/>
                <w:sz w:val="22"/>
              </w:rPr>
            </w:r>
          </w:p>
        </w:tc>
      </w:tr>
    </w:tbl>
    <w:p>
      <w:pPr>
        <w:pStyle w:val="Kicker"/>
        <w:pageBreakBefore/>
        <w:shd w:val="clear" w:fill="EDF5F0"/>
        <w:pBdr>
          <w:left w:val="single" w:sz="16" w:color="28675C" w:space="5"/>
        </w:pBdr>
        <w:ind w:left="91"/>
      </w:pPr>
      <w:r>
        <w:t>PUPIL TASK / Autumn 1 · Week 6 · Lesson B</w:t>
      </w:r>
    </w:p>
    <w:p>
      <w:pPr>
        <w:pStyle w:val="Title"/>
      </w:pPr>
      <w:r>
        <w:t>4. Pause and check ·2 min</w:t>
      </w:r>
    </w:p>
    <w:p>
      <w:pPr>
        <w:pStyle w:val="Subtitle"/>
      </w:pPr>
      <w:r>
        <w:t>Write, draw, point or dictate as agreed with your teacher.</w:t>
      </w:r>
    </w:p>
    <w:p>
      <w:r>
        <w:t>Show an adult or chosen partner one arrow and one comparison. A longer year means more time for one orbit. Mark one idea you checked and correct it if needed.</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6 · Lesson B</w:t>
      </w:r>
    </w:p>
    <w:p>
      <w:pPr>
        <w:pStyle w:val="Title"/>
      </w:pPr>
      <w:r>
        <w:t>5. Correct and tidy ·6 min</w:t>
      </w:r>
    </w:p>
    <w:p>
      <w:pPr>
        <w:pStyle w:val="Subtitle"/>
      </w:pPr>
      <w:r>
        <w:t>Write, draw, point or dictate as agreed with your teacher.</w:t>
      </w:r>
    </w:p>
    <w:p>
      <w:r>
        <w:t>Correct one arrow or comparison. Record two things the model shows and one limit, then return counters and labels.</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3288"/>
        <w:gridCol w:w="3288"/>
        <w:gridCol w:w="3290"/>
      </w:tblGrid>
      <w:tr>
        <w:trPr>
          <w:cantSplit/>
          <w:tblHeader/>
        </w:trPr>
        <w:tc>
          <w:tcPr>
            <w:vAlign w:val="center"/>
            <w:tcW w:w="3288" w:type="dxa"/>
            <w:shd w:fill="28675C" w:val="clear"/>
          </w:tcPr>
          <w:p>
            <w:pPr>
              <w:spacing w:after="60" w:before="0" w:line="257" w:lineRule="auto"/>
            </w:pPr>
            <w:r>
              <w:rPr>
                <w:rFonts w:ascii="Arial" w:hAnsi="Arial"/>
                <w:b/>
                <w:color w:val="FFFFFF"/>
                <w:sz w:val="22"/>
              </w:rPr>
              <w:t>The model shows…</w:t>
            </w:r>
          </w:p>
        </w:tc>
        <w:tc>
          <w:tcPr>
            <w:vAlign w:val="center"/>
            <w:tcW w:w="3288" w:type="dxa"/>
            <w:shd w:fill="28675C" w:val="clear"/>
          </w:tcPr>
          <w:p>
            <w:pPr>
              <w:spacing w:after="60" w:before="0" w:line="257" w:lineRule="auto"/>
            </w:pPr>
            <w:r>
              <w:rPr>
                <w:rFonts w:ascii="Arial" w:hAnsi="Arial"/>
                <w:b/>
                <w:color w:val="FFFFFF"/>
                <w:sz w:val="22"/>
              </w:rPr>
              <w:t>The model also shows…</w:t>
            </w:r>
          </w:p>
        </w:tc>
        <w:tc>
          <w:tcPr>
            <w:vAlign w:val="center"/>
            <w:tcW w:w="3290" w:type="dxa"/>
            <w:shd w:fill="28675C" w:val="clear"/>
          </w:tcPr>
          <w:p>
            <w:pPr>
              <w:spacing w:after="60" w:before="0" w:line="257" w:lineRule="auto"/>
            </w:pPr>
            <w:r>
              <w:rPr>
                <w:rFonts w:ascii="Arial" w:hAnsi="Arial"/>
                <w:b/>
                <w:color w:val="FFFFFF"/>
                <w:sz w:val="22"/>
              </w:rPr>
              <w:t>It does not show accurately…</w:t>
            </w:r>
          </w:p>
        </w:tc>
      </w:tr>
      <w:tr>
        <w:trPr>
          <w:cantSplit/>
          <w:trHeight w:val="780" w:hRule="atLeast"/>
        </w:trPr>
        <w:tc>
          <w:tcPr>
            <w:vAlign w:val="center"/>
            <w:tcW w:w="3288" w:type="dxa"/>
            <w:shd w:val="clear" w:fill="FFFFFF"/>
          </w:tcPr>
          <w:p>
            <w:pPr>
              <w:spacing w:after="60" w:before="0" w:line="257" w:lineRule="auto"/>
            </w:pPr>
            <w:r>
              <w:rPr>
                <w:rFonts w:ascii="Arial" w:hAnsi="Arial"/>
                <w:b w:val="0"/>
                <w:color w:val="243943"/>
                <w:sz w:val="22"/>
              </w:rPr>
            </w:r>
          </w:p>
        </w:tc>
        <w:tc>
          <w:tcPr>
            <w:vAlign w:val="center"/>
            <w:tcW w:w="3288" w:type="dxa"/>
            <w:shd w:val="clear" w:fill="FFFFFF"/>
          </w:tcPr>
          <w:p>
            <w:pPr>
              <w:spacing w:after="60" w:before="0" w:line="257" w:lineRule="auto"/>
            </w:pPr>
            <w:r>
              <w:rPr>
                <w:rFonts w:ascii="Arial" w:hAnsi="Arial"/>
                <w:b w:val="0"/>
                <w:color w:val="243943"/>
                <w:sz w:val="22"/>
              </w:rPr>
            </w:r>
          </w:p>
        </w:tc>
        <w:tc>
          <w:tcPr>
            <w:vAlign w:val="center"/>
            <w:tcW w:w="3290" w:type="dxa"/>
            <w:shd w:val="clear" w:fill="FFFFFF"/>
          </w:tcPr>
          <w:p>
            <w:pPr>
              <w:spacing w:after="60" w:before="0" w:line="257" w:lineRule="auto"/>
            </w:pPr>
            <w:r>
              <w:rPr>
                <w:rFonts w:ascii="Arial" w:hAnsi="Arial"/>
                <w:b w:val="0"/>
                <w:color w:val="243943"/>
                <w:sz w:val="22"/>
              </w:rPr>
            </w:r>
          </w:p>
        </w:tc>
      </w:tr>
    </w:tbl>
    <w:p>
      <w:pPr>
        <w:pStyle w:val="Heading1"/>
      </w:pPr>
      <w:r>
        <w:t>6. Pupil feedback ·4 min</w:t>
      </w:r>
    </w:p>
    <w:p>
      <w:r>
        <w:t>Point, sign, speak, write, use a chosen partner or pass. What helped or made access difficult? The adult explains one possible change and checks whether it helps.</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6 · Lesson B</w:t>
      </w:r>
    </w:p>
    <w:p>
      <w:pPr>
        <w:pStyle w:val="Title"/>
      </w:pPr>
      <w:r>
        <w:t>7. Exit ·4 min</w:t>
      </w:r>
    </w:p>
    <w:p>
      <w:pPr>
        <w:pStyle w:val="Subtitle"/>
      </w:pPr>
      <w:r>
        <w:t>Write, draw, point or dictate as agreed with your teacher.</w:t>
      </w:r>
    </w:p>
    <w:p>
      <w:r>
        <w:t>Choose the agreed route. Supported: name the third planet. Standard: name the force keeping planets in orbit. Stretch: explain why Earth does not simply fall into the Sun.</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CHOOSE A RESPONSE ROUTE</w:t>
      </w:r>
    </w:p>
    <w:p>
      <w:pPr>
        <w:pStyle w:val="Title"/>
      </w:pPr>
      <w:r>
        <w:t>Ways to show your understanding</w:t>
      </w:r>
    </w:p>
    <w:p>
      <w:pPr>
        <w:pStyle w:val="Subtitle"/>
      </w:pPr>
      <w:r>
        <w:t>Choose the route agreed with your teacher. You do not need to complete every route.</w:t>
      </w:r>
    </w:p>
    <w:p>
      <w:pPr>
        <w:pStyle w:val="Heading1"/>
      </w:pPr>
      <w:r>
        <w:t>Supported</w:t>
      </w:r>
    </w:p>
    <w:p>
      <w:r>
        <w:t>Direct the model with an adult, order the planet names with support and compare Earth 365 days with Mars 687 days.</w:t>
      </w:r>
    </w:p>
    <w:p>
      <w:pPr>
        <w:pStyle w:val="Heading1"/>
      </w:pPr>
      <w:r>
        <w:t>Standard</w:t>
      </w:r>
    </w:p>
    <w:p>
      <w:r>
        <w:t>Order and group planets; show both arrows, compare two pairs and explain a continually curving path.</w:t>
      </w:r>
    </w:p>
    <w:p>
      <w:pPr>
        <w:pStyle w:val="Heading1"/>
      </w:pPr>
      <w:r>
        <w:t>Stretch</w:t>
      </w:r>
    </w:p>
    <w:p>
      <w:r>
        <w:t>Test the farther-out/longer-year prediction and explain why hand-moving counters is not an experiment on gravity.</w:t>
      </w:r>
    </w:p>
    <w:sectPr w:rsidR="00FC693F" w:rsidRPr="0006063C" w:rsidSect="00034616">
      <w:headerReference w:type="default" r:id="rId9"/>
      <w:footerReference w:type="default" r:id="rId10"/>
      <w:pgSz w:w="11906" w:h="16838"/>
      <w:pgMar w:top="1020" w:right="1020" w:bottom="1020" w:left="102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Bdr>
        <w:top w:val="single" w:sz="4" w:color="B7CEC3" w:space="5"/>
      </w:pBdr>
    </w:pPr>
    <w:r>
      <w:rPr>
        <w:rFonts w:ascii="Arial" w:hAnsi="Arial"/>
        <w:b w:val="0"/>
        <w:color w:val="56686C"/>
        <w:sz w:val="17"/>
      </w:rPr>
      <w:t xml:space="preserve">Autumn 1 · Week 6 · Lesson B  |  Pupil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spacing w:after="100"/>
      <w:pBdr>
        <w:bottom w:val="single" w:sz="7" w:color="28675C" w:space="5"/>
      </w:pBdr>
    </w:pPr>
    <w:r>
      <w:rPr>
        <w:rFonts w:ascii="Arial" w:hAnsi="Arial"/>
        <w:b/>
        <w:color w:val="28675C"/>
        <w:sz w:val="19"/>
      </w:rPr>
      <w:t>MADE BY MATT  /  GROW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4" w:lineRule="auto"/>
    </w:pPr>
    <w:rPr>
      <w:rFonts w:ascii="Arial" w:hAnsi="Arial" w:eastAsia="Arial" w:cs="Arial"/>
      <w:b w:val="0"/>
      <w:color w:val="243943"/>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00" w:line="250" w:lineRule="auto"/>
      <w:outlineLvl w:val="0"/>
      <w:pBdr>
        <w:bottom w:val="single" w:sz="4" w:color="B7CEC3" w:space="3"/>
      </w:pBdr>
    </w:pPr>
    <w:rPr>
      <w:rFonts w:ascii="Arial" w:hAnsi="Arial" w:eastAsia="Arial" w:cs="Arial"/>
      <w:b/>
      <w:bCs/>
      <w:color w:val="28675C"/>
      <w:sz w:val="30"/>
      <w:szCs w:val="28"/>
    </w:rPr>
  </w:style>
  <w:style w:type="paragraph" w:styleId="Heading2">
    <w:name w:val="heading 2"/>
    <w:basedOn w:val="Normal"/>
    <w:next w:val="Normal"/>
    <w:link w:val="Heading2Char"/>
    <w:uiPriority w:val="9"/>
    <w:unhideWhenUsed/>
    <w:qFormat/>
    <w:rsid w:val="00FC693F"/>
    <w:pPr>
      <w:keepNext/>
      <w:keepLines/>
      <w:widowControl/>
      <w:spacing w:before="160" w:after="80" w:line="252" w:lineRule="auto"/>
      <w:outlineLvl w:val="1"/>
    </w:pPr>
    <w:rPr>
      <w:rFonts w:ascii="Arial" w:hAnsi="Arial" w:eastAsia="Arial" w:cs="Arial"/>
      <w:b/>
      <w:bCs/>
      <w:color w:val="173348"/>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45" w:lineRule="auto" w:before="0"/>
      <w:contextualSpacing/>
    </w:pPr>
    <w:rPr>
      <w:rFonts w:ascii="Arial" w:hAnsi="Arial" w:eastAsia="Arial" w:cs="Arial"/>
      <w:b/>
      <w:color w:val="17334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160" w:line="259" w:lineRule="auto"/>
    </w:pPr>
    <w:rPr>
      <w:rFonts w:ascii="Arial" w:hAnsi="Arial" w:eastAsia="Arial" w:cs="Arial"/>
      <w:b w:val="0"/>
      <w:i w:val="0"/>
      <w:iCs/>
      <w:color w:val="56686C"/>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20" w:line="245" w:lineRule="auto"/>
    </w:pPr>
    <w:rPr>
      <w:rFonts w:ascii="Arial" w:hAnsi="Arial" w:eastAsia="Arial" w:cs="Arial"/>
      <w:b/>
      <w:color w:val="28675C"/>
      <w:sz w:val="18"/>
    </w:rPr>
  </w:style>
  <w:style w:type="paragraph" w:customStyle="1" w:styleId="Small">
    <w:name w:val="Small"/>
    <w:pPr>
      <w:widowControl/>
      <w:spacing w:before="0" w:after="100" w:line="257" w:lineRule="auto"/>
    </w:pPr>
    <w:rPr>
      <w:rFonts w:ascii="Arial" w:hAnsi="Arial" w:eastAsia="Arial" w:cs="Arial"/>
      <w:b w:val="0"/>
      <w:color w:val="56686C"/>
      <w:sz w:val="18"/>
    </w:rPr>
  </w:style>
  <w:style w:type="paragraph" w:customStyle="1" w:styleId="ResponseLine">
    <w:name w:val="ResponseLine"/>
    <w:pPr>
      <w:widowControl/>
      <w:spacing w:before="0" w:after="0" w:line="440" w:lineRule="exact"/>
      <w:pBdr>
        <w:bottom w:val="single" w:sz="4" w:color="B7CEC3" w:space="0"/>
        <w:between w:val="single" w:sz="4" w:color="B7CEC3" w:space="0"/>
      </w:pBdr>
    </w:pPr>
    <w:rPr>
      <w:rFonts w:ascii="Arial" w:hAnsi="Arial" w:eastAsia="Arial" w:cs="Arial"/>
      <w:b w:val="0"/>
      <w:color w:val="243943"/>
      <w:sz w:val="24"/>
    </w:rPr>
  </w:style>
  <w:style w:type="paragraph" w:customStyle="1" w:styleId="Callout">
    <w:name w:val="Callout"/>
    <w:pPr>
      <w:widowControl/>
      <w:spacing w:before="140" w:after="180" w:line="264" w:lineRule="auto"/>
      <w:shd w:val="clear" w:fill="EDF5F0"/>
      <w:pBdr>
        <w:left w:val="single" w:sz="20" w:color="28675C" w:space="7"/>
      </w:pBdr>
      <w:ind w:left="136" w:right="91"/>
    </w:pPr>
    <w:rPr>
      <w:rFonts w:ascii="Arial" w:hAnsi="Arial" w:eastAsia="Arial" w:cs="Arial"/>
      <w:b w:val="0"/>
      <w:color w:val="243943"/>
      <w:sz w:val="2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and challenge an orbit model - GROW_Science_Autumn1_W6B_Earth_And_Planets - Pupil</dc:title>
  <dc:subject>Autumn 1 · Week 6 · Lesson B</dc:subject>
  <dc:creator>Made by Matt</dc:creator>
  <cp:keywords>GROW, Science, Build and challenge an orbit model, Autumn 1, Week 6, Lesson B</cp:keywords>
  <dc:description>generated by python-docx</dc:description>
  <cp:lastModifiedBy/>
  <cp:revision>1</cp:revision>
  <dcterms:created xsi:type="dcterms:W3CDTF">2013-12-23T23:15:00Z</dcterms:created>
  <dcterms:modified xsi:type="dcterms:W3CDTF">2013-12-23T23:15:00Z</dcterms:modified>
  <cp:category/>
</cp:coreProperties>
</file>