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shd w:val="clear" w:fill="EDF5F0"/>
        <w:pBdr>
          <w:left w:val="single" w:sz="16" w:color="28675C" w:space="5"/>
        </w:pBdr>
        <w:ind w:left="91"/>
      </w:pPr>
      <w:r>
        <w:t>TEACHER GUIDANCE / ANSWERS SEPARATE</w:t>
      </w:r>
    </w:p>
    <w:p>
      <w:pPr>
        <w:pStyle w:val="Title"/>
      </w:pPr>
      <w:r>
        <w:t>Planning a fair test</w:t>
      </w:r>
    </w:p>
    <w:p>
      <w:pPr>
        <w:pStyle w:val="Subtitle"/>
      </w:pPr>
      <w:r>
        <w:t>Autumn 1 · Week 5 · Lesson A · 40 minutes</w:t>
      </w:r>
    </w:p>
    <w:p>
      <w:pPr>
        <w:pStyle w:val="Heading1"/>
      </w:pPr>
      <w:r>
        <w:t>Learning objective</w:t>
      </w:r>
    </w:p>
    <w:p>
      <w:r>
        <w:t>Identify independent, dependent and control variables, plan repeated measurements with units and explain fair handling of unexpected results.</w:t>
      </w:r>
    </w:p>
    <w:p>
      <w:pPr>
        <w:pStyle w:val="Heading1"/>
      </w:pPr>
      <w:r>
        <w:t>Source lesson timing</w:t>
      </w:r>
    </w:p>
    <w:tbl>
      <w:tblPr>
        <w:tblLayout w:type="fixed"/>
        <w:tblLook w:firstColumn="1" w:firstRow="1" w:lastColumn="0" w:lastRow="0" w:noHBand="0" w:noVBand="1" w:val="04A0"/>
        <w:tblW w:w="9866" w:type="dxa"/>
        <w:jc w:val="left"/>
        <w:tblInd w:w="120" w:type="dxa"/>
        <w:tblCellMar>
          <w:top w:w="90" w:type="dxa"/>
          <w:left w:w="120" w:type="dxa"/>
          <w:bottom w:w="90" w:type="dxa"/>
          <w:right w:w="120" w:type="dxa"/>
        </w:tblCellMar>
        <w:tblBorders>
          <w:top w:val="single" w:sz="4" w:color="B7CEC3"/>
          <w:left w:val="single" w:sz="4" w:color="B7CEC3"/>
          <w:bottom w:val="single" w:sz="4" w:color="B7CEC3"/>
          <w:right w:val="single" w:sz="4" w:color="B7CEC3"/>
          <w:insideH w:val="single" w:sz="4" w:color="B7CEC3"/>
          <w:insideV w:val="single" w:sz="4" w:color="B7CEC3"/>
        </w:tblBorders>
      </w:tblPr>
      <w:tblGrid>
        <w:gridCol w:w="1800"/>
        <w:gridCol w:w="6766"/>
        <w:gridCol w:w="1300"/>
      </w:tblGrid>
      <w:tr>
        <w:trPr>
          <w:cantSplit/>
          <w:tblHeader/>
        </w:trPr>
        <w:tc>
          <w:tcPr>
            <w:vAlign w:val="center"/>
            <w:tcW w:w="1800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Elapsed minutes</w:t>
            </w:r>
          </w:p>
        </w:tc>
        <w:tc>
          <w:tcPr>
            <w:vAlign w:val="center"/>
            <w:tcW w:w="6766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Source stage</w:t>
            </w:r>
          </w:p>
        </w:tc>
        <w:tc>
          <w:tcPr>
            <w:vAlign w:val="center"/>
            <w:tcW w:w="1300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Minutes</w:t>
            </w:r>
          </w:p>
        </w:tc>
      </w:tr>
      <w:tr>
        <w:trPr>
          <w:cantSplit/>
        </w:trPr>
        <w:tc>
          <w:tcPr>
            <w:vAlign w:val="center"/>
            <w:tcW w:w="18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0–1</w:t>
            </w:r>
          </w:p>
        </w:tc>
        <w:tc>
          <w:tcPr>
            <w:vAlign w:val="center"/>
            <w:tcW w:w="6766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Title</w:t>
            </w:r>
          </w:p>
        </w:tc>
        <w:tc>
          <w:tcPr>
            <w:vAlign w:val="center"/>
            <w:tcW w:w="13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1</w:t>
            </w:r>
          </w:p>
        </w:tc>
      </w:tr>
      <w:tr>
        <w:trPr>
          <w:cantSplit/>
        </w:trPr>
        <w:tc>
          <w:tcPr>
            <w:vAlign w:val="center"/>
            <w:tcW w:w="1800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1–5</w:t>
            </w:r>
          </w:p>
        </w:tc>
        <w:tc>
          <w:tcPr>
            <w:vAlign w:val="center"/>
            <w:tcW w:w="6766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Arrival Task</w:t>
            </w:r>
          </w:p>
        </w:tc>
        <w:tc>
          <w:tcPr>
            <w:vAlign w:val="center"/>
            <w:tcW w:w="1300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4</w:t>
            </w:r>
          </w:p>
        </w:tc>
      </w:tr>
      <w:tr>
        <w:trPr>
          <w:cantSplit/>
        </w:trPr>
        <w:tc>
          <w:tcPr>
            <w:vAlign w:val="center"/>
            <w:tcW w:w="18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5–7</w:t>
            </w:r>
          </w:p>
        </w:tc>
        <w:tc>
          <w:tcPr>
            <w:vAlign w:val="center"/>
            <w:tcW w:w="6766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Today at a Glance</w:t>
            </w:r>
          </w:p>
        </w:tc>
        <w:tc>
          <w:tcPr>
            <w:vAlign w:val="center"/>
            <w:tcW w:w="13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2</w:t>
            </w:r>
          </w:p>
        </w:tc>
      </w:tr>
      <w:tr>
        <w:trPr>
          <w:cantSplit/>
        </w:trPr>
        <w:tc>
          <w:tcPr>
            <w:vAlign w:val="center"/>
            <w:tcW w:w="1800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7–16</w:t>
            </w:r>
          </w:p>
        </w:tc>
        <w:tc>
          <w:tcPr>
            <w:vAlign w:val="center"/>
            <w:tcW w:w="6766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I Do 1</w:t>
            </w:r>
          </w:p>
        </w:tc>
        <w:tc>
          <w:tcPr>
            <w:vAlign w:val="center"/>
            <w:tcW w:w="1300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9</w:t>
            </w:r>
          </w:p>
        </w:tc>
      </w:tr>
      <w:tr>
        <w:trPr>
          <w:cantSplit/>
        </w:trPr>
        <w:tc>
          <w:tcPr>
            <w:vAlign w:val="center"/>
            <w:tcW w:w="18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16–26</w:t>
            </w:r>
          </w:p>
        </w:tc>
        <w:tc>
          <w:tcPr>
            <w:vAlign w:val="center"/>
            <w:tcW w:w="6766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We Do 1</w:t>
            </w:r>
          </w:p>
        </w:tc>
        <w:tc>
          <w:tcPr>
            <w:vAlign w:val="center"/>
            <w:tcW w:w="13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10</w:t>
            </w:r>
          </w:p>
        </w:tc>
      </w:tr>
      <w:tr>
        <w:trPr>
          <w:cantSplit/>
        </w:trPr>
        <w:tc>
          <w:tcPr>
            <w:vAlign w:val="center"/>
            <w:tcW w:w="1800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26–30</w:t>
            </w:r>
          </w:p>
        </w:tc>
        <w:tc>
          <w:tcPr>
            <w:vAlign w:val="center"/>
            <w:tcW w:w="6766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I Do 2</w:t>
            </w:r>
          </w:p>
        </w:tc>
        <w:tc>
          <w:tcPr>
            <w:vAlign w:val="center"/>
            <w:tcW w:w="1300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4</w:t>
            </w:r>
          </w:p>
        </w:tc>
      </w:tr>
      <w:tr>
        <w:trPr>
          <w:cantSplit/>
        </w:trPr>
        <w:tc>
          <w:tcPr>
            <w:vAlign w:val="center"/>
            <w:tcW w:w="18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30–40</w:t>
            </w:r>
          </w:p>
        </w:tc>
        <w:tc>
          <w:tcPr>
            <w:vAlign w:val="center"/>
            <w:tcW w:w="6766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We Do 2</w:t>
            </w:r>
          </w:p>
        </w:tc>
        <w:tc>
          <w:tcPr>
            <w:vAlign w:val="center"/>
            <w:tcW w:w="13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10</w:t>
            </w:r>
          </w:p>
        </w:tc>
      </w:tr>
    </w:tbl>
    <w:p>
      <w:pPr>
        <w:pStyle w:val="Small"/>
      </w:pPr>
      <w:r>
        <w:t>Split slide times are added within their original source stages. Printed tasks and adaptations replace activity within these timings; they do not add extra lesson time.</w:t>
      </w:r>
    </w:p>
    <w:p>
      <w:pPr>
        <w:pStyle w:val="Heading1"/>
      </w:pPr>
      <w:r>
        <w:t>Equipment and preparation</w:t>
      </w:r>
    </w:p>
    <w:p>
      <w:pPr>
        <w:numPr>
          <w:ilvl w:val="0"/>
          <w:numId w:val="10"/>
        </w:numPr>
      </w:pPr>
      <w:r>
        <w:t>Adult-secured low ramp, same small trolley, two level run-out samples and padded stop for demonstration</w:t>
      </w:r>
    </w:p>
    <w:p>
      <w:pPr>
        <w:numPr>
          <w:ilvl w:val="0"/>
          <w:numId w:val="10"/>
        </w:numPr>
      </w:pPr>
      <w:r>
        <w:t>Ruler/tape with visible zero and fixed measuring edge</w:t>
      </w:r>
    </w:p>
    <w:p>
      <w:pPr>
        <w:numPr>
          <w:ilvl w:val="0"/>
          <w:numId w:val="10"/>
        </w:numPr>
      </w:pPr>
      <w:r>
        <w:t>Paper planning frames or local editable documents; card labels optional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TEACHING SEQUENCE</w:t>
      </w:r>
    </w:p>
    <w:p>
      <w:pPr>
        <w:pStyle w:val="Title"/>
      </w:pPr>
      <w:r>
        <w:t>Guide the lesson</w:t>
      </w:r>
    </w:p>
    <w:p>
      <w:pPr>
        <w:pStyle w:val="Subtitle"/>
      </w:pPr>
      <w:r>
        <w:t>Use the source stage times; choose prompts appropriate to the pupil.</w:t>
      </w:r>
    </w:p>
    <w:p>
      <w:pPr>
        <w:pStyle w:val="Heading2"/>
        <w:keepNext/>
      </w:pPr>
      <w:r>
        <w:t>Title · 1 minute</w:t>
      </w:r>
    </w:p>
    <w:p>
      <w:r>
        <w:t>Introduce planning a fair test and evaluating evidence.</w:t>
      </w:r>
    </w:p>
    <w:p>
      <w:pPr>
        <w:pStyle w:val="Heading2"/>
        <w:keepNext/>
      </w:pPr>
      <w:r>
        <w:t>Arrival Task · 4 minutes</w:t>
      </w:r>
    </w:p>
    <w:p>
      <w:r>
        <w:t>Identify the deliberate change for trolley run-out surface question, and controls if ready.</w:t>
      </w:r>
    </w:p>
    <w:p>
      <w:pPr>
        <w:pStyle w:val="Heading2"/>
        <w:keepNext/>
      </w:pPr>
      <w:r>
        <w:t>Today at a Glance · 2 minutes</w:t>
      </w:r>
    </w:p>
    <w:p>
      <w:r>
        <w:t>Name variables, plan three trials, judge evidence.</w:t>
      </w:r>
    </w:p>
    <w:p>
      <w:pPr>
        <w:pStyle w:val="Heading2"/>
        <w:keepNext/>
      </w:pPr>
      <w:r>
        <w:t>I Do 1 · 9 minutes</w:t>
      </w:r>
    </w:p>
    <w:p>
      <w:r>
        <w:t>Model confounded surface-plus-push comparison, then repair to same no-push release and other controls.</w:t>
      </w:r>
    </w:p>
    <w:p>
      <w:pPr>
        <w:pStyle w:val="Heading2"/>
        <w:keepNext/>
      </w:pPr>
      <w:r>
        <w:t>We Do 1 · 10 minutes</w:t>
      </w:r>
    </w:p>
    <w:p>
      <w:r>
        <w:t>Classify five variables and direct correction of a control/measuring zero.</w:t>
      </w:r>
    </w:p>
    <w:p>
      <w:pPr>
        <w:pStyle w:val="Heading2"/>
        <w:keepNext/>
      </w:pPr>
      <w:r>
        <w:t>I Do 2 · 4 minutes</w:t>
      </w:r>
    </w:p>
    <w:p>
      <w:r>
        <w:t>Complete CHANGE/KEEP/MEASURE planning sentence before practical.</w:t>
      </w:r>
    </w:p>
    <w:p>
      <w:pPr>
        <w:pStyle w:val="Heading2"/>
        <w:keepNext/>
      </w:pPr>
      <w:r>
        <w:t>We Do 2 · 10 minutes</w:t>
      </w:r>
    </w:p>
    <w:p>
      <w:r>
        <w:t>Sort method claims and distinguish surprising result from known method problem. Keep plan and stop.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TEACHER ANSWERS</w:t>
      </w:r>
    </w:p>
    <w:p>
      <w:pPr>
        <w:pStyle w:val="Title"/>
      </w:pPr>
      <w:r>
        <w:t>Worked answers and expected evidence</w:t>
      </w:r>
    </w:p>
    <w:p>
      <w:pPr>
        <w:pStyle w:val="Subtitle"/>
      </w:pPr>
      <w:r>
        <w:t>Use after an attempt. Accept equivalent correct explanations; record support given.</w:t>
      </w:r>
    </w:p>
    <w:p>
      <w:pPr>
        <w:pStyle w:val="Heading2"/>
      </w:pPr>
      <w:r>
        <w:t>Planning sentence</w:t>
      </w:r>
    </w:p>
    <w:p>
      <w:r>
        <w:t>I will change the run-out surface, keep the same trolley and ramp/release arrangement, release without a push, and measure stopping distance from the same zero to the same edge in centimetres.</w:t>
      </w:r>
    </w:p>
    <w:p>
      <w:pPr>
        <w:pStyle w:val="Heading2"/>
      </w:pPr>
      <w:r>
        <w:t>1. One question, clear variables</w:t>
      </w:r>
    </w:p>
    <w:p>
      <w:r>
        <w:t>CHANGE: run-out surface. KEEP: same trolley, ramp height, release mark and no-push procedure; level samples, ramp join and measuring zero/edge also controlled. MEASURE: stopping distance in centimetres. The question concerns this setup, not every material under every condition.</w:t>
      </w:r>
    </w:p>
    <w:p>
      <w:pPr>
        <w:pStyle w:val="Heading2"/>
      </w:pPr>
      <w:r>
        <w:t>2. Diagnose the adult demonstration</w:t>
      </w:r>
    </w:p>
    <w:p>
      <w:r>
        <w:t>Surface and push/release changed. Difference could result from either or their combination, so surface effect cannot be isolated. Repair: keep same trolley, ramp, release mark and no-push release; change only level run-out surface and measure from same zero to same edge. If no demonstration occurred, identify scenario as hypothetical.</w:t>
      </w:r>
    </w:p>
    <w:p>
      <w:pPr>
        <w:pStyle w:val="Heading2"/>
      </w:pPr>
      <w:r>
        <w:t>3. Classify the variable roles</w:t>
      </w:r>
    </w:p>
    <w:p>
      <w:r>
        <w:t>Surface: CHANGE/independent. Stopping distance: MEASURE/dependent, cm. Ramp height, trolley and no-push release from mark: KEEP/control. Align actual zero marking, which may differ from ruler end, with agreed ramp-foot start; measure same trolley edge each time.</w:t>
      </w:r>
    </w:p>
    <w:p>
      <w:pPr>
        <w:pStyle w:val="Heading2"/>
      </w:pPr>
      <w:r>
        <w:t>4. Sort and repair method claims</w:t>
      </w:r>
    </w:p>
    <w:p>
      <w:r>
        <w:t>First: consistent with FAIR if other controls held. Second: NOT FAIR, two planned causes changed. Third: supports FAIR/consistency if method controlled but alone doesn't fix unfairness. Fourth: NOT SCIENCE/biased handling—keep disliked result and inspect method. Fifth: NOT A UNIT; use cm and actual zero. Accept precise explanation over memorised category.</w:t>
      </w:r>
    </w:p>
    <w:p>
      <w:pPr>
        <w:pStyle w:val="Heading2"/>
      </w:pPr>
      <w:r>
        <w:t>5. Keep the evidence and the plan</w:t>
      </w:r>
    </w:p>
    <w:p>
      <w:r>
        <w:t>Keep original result. Note observed extra push as specific method issue; if no cause known, retain uncertainty. Plan retry with controlled method, labelled separately. Complete sentence using surface, same trolley/ramp/release and distance in cm. Do not silently discard a value or treat a mean as a repair.</w:t>
      </w:r>
    </w:p>
    <w:p>
      <w:pPr>
        <w:pStyle w:val="Heading1"/>
      </w:pPr>
      <w:r>
        <w:t>Misconceptions and corrections</w:t>
      </w:r>
    </w:p>
    <w:p>
      <w:pPr>
        <w:numPr>
          <w:ilvl w:val="0"/>
          <w:numId w:val="11"/>
        </w:numPr>
      </w:pPr>
      <w:r>
        <w:t>Fair means everyone gets a turn: in this investigation it means one planned change with relevant controls.</w:t>
      </w:r>
    </w:p>
    <w:p>
      <w:pPr>
        <w:numPr>
          <w:ilvl w:val="0"/>
          <w:numId w:val="11"/>
        </w:numPr>
      </w:pPr>
      <w:r>
        <w:t>Three repeats guarantee fairness: repetition does not remove a confounded method.</w:t>
      </w:r>
    </w:p>
    <w:p>
      <w:pPr>
        <w:numPr>
          <w:ilvl w:val="0"/>
          <w:numId w:val="11"/>
        </w:numPr>
      </w:pPr>
      <w:r>
        <w:t>A number without a unit is sufficient: distance record needs cm.</w:t>
      </w:r>
    </w:p>
    <w:p>
      <w:pPr>
        <w:numPr>
          <w:ilvl w:val="0"/>
          <w:numId w:val="11"/>
        </w:numPr>
      </w:pPr>
      <w:r>
        <w:t>Unexpected means incorrect: keep data and distinguish observation from known method issue.</w:t>
      </w:r>
    </w:p>
    <w:p>
      <w:pPr>
        <w:numPr>
          <w:ilvl w:val="0"/>
          <w:numId w:val="11"/>
        </w:numPr>
      </w:pPr>
      <w:r>
        <w:t>Source model WAGOLL proves carpet result: do not claim any material won before actual evidence.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PREPARATION / ACCESS / SOURCE RECORD</w:t>
      </w:r>
    </w:p>
    <w:p>
      <w:pPr>
        <w:pStyle w:val="Title"/>
      </w:pPr>
      <w:r>
        <w:t>Teach safely; keep the evidence</w:t>
      </w:r>
    </w:p>
    <w:p>
      <w:pPr>
        <w:pStyle w:val="Subtitle"/>
      </w:pPr>
      <w:r>
        <w:t>The source record identifies this conversion; it is not a claim of publication.</w:t>
      </w:r>
    </w:p>
    <w:p>
      <w:pPr>
        <w:pStyle w:val="Heading1"/>
      </w:pPr>
      <w:r>
        <w:t>Safety</w:t>
      </w:r>
    </w:p>
    <w:p>
      <w:pPr>
        <w:numPr>
          <w:ilvl w:val="0"/>
          <w:numId w:val="12"/>
        </w:numPr>
      </w:pPr>
      <w:r>
        <w:t>Adult controls demonstration, clear run and small safe release; no pupil hard-push experiment.</w:t>
      </w:r>
    </w:p>
    <w:p>
      <w:pPr>
        <w:numPr>
          <w:ilvl w:val="0"/>
          <w:numId w:val="12"/>
        </w:numPr>
      </w:pPr>
      <w:r>
        <w:t>Keep hands clear, use stable low ramp and padded stop.</w:t>
      </w:r>
    </w:p>
    <w:p>
      <w:pPr>
        <w:numPr>
          <w:ilvl w:val="0"/>
          <w:numId w:val="12"/>
        </w:numPr>
      </w:pPr>
      <w:r>
        <w:t>Use a verbal/diagram scenario if safe kit unavailable; label it hypothetical.</w:t>
      </w:r>
    </w:p>
    <w:p>
      <w:pPr>
        <w:numPr>
          <w:ilvl w:val="0"/>
          <w:numId w:val="12"/>
        </w:numPr>
      </w:pPr>
      <w:r>
        <w:t>No oils, powders or unsafe floor-slip activity.</w:t>
      </w:r>
    </w:p>
    <w:p>
      <w:pPr>
        <w:pStyle w:val="Heading1"/>
      </w:pPr>
      <w:r>
        <w:t>Access and offline alternatives</w:t>
      </w:r>
    </w:p>
    <w:p>
      <w:pPr>
        <w:numPr>
          <w:ilvl w:val="0"/>
          <w:numId w:val="13"/>
        </w:numPr>
      </w:pPr>
      <w:r>
        <w:t>Original editable variable map and paper/spoken sort replace animation and HTML controls.</w:t>
      </w:r>
    </w:p>
    <w:p>
      <w:pPr>
        <w:numPr>
          <w:ilvl w:val="0"/>
          <w:numId w:val="13"/>
        </w:numPr>
      </w:pPr>
      <w:r>
        <w:t>Keep planning and results together without requiring photographs or account uploads.</w:t>
      </w:r>
    </w:p>
    <w:p>
      <w:pPr>
        <w:numPr>
          <w:ilvl w:val="0"/>
          <w:numId w:val="13"/>
        </w:numPr>
      </w:pPr>
      <w:r>
        <w:t>Dictation, pointing and adult-directed demonstration give equivalent evidence of variable understanding.</w:t>
      </w:r>
    </w:p>
    <w:p>
      <w:pPr>
        <w:numPr>
          <w:ilvl w:val="0"/>
          <w:numId w:val="13"/>
        </w:numPr>
      </w:pPr>
      <w:r>
        <w:t>Source carpet conclusion is qualified to future actual evidence or named model data.</w:t>
      </w:r>
    </w:p>
    <w:p>
      <w:pPr>
        <w:pStyle w:val="Heading1"/>
      </w:pPr>
      <w:r>
        <w:t>Close and continue</w:t>
      </w:r>
    </w:p>
    <w:p>
      <w:r>
        <w:t>Monday ends after We Do 2, total 40 minutes. Tuesday conducts two-surface, three-trial investigation; do not perform a second unscheduled practical now.</w:t>
      </w:r>
    </w:p>
    <w:p>
      <w:pPr>
        <w:pStyle w:val="Heading1"/>
      </w:pPr>
      <w:r>
        <w:t>Source and revision</w:t>
      </w:r>
    </w:p>
    <w:p>
      <w:pPr>
        <w:pStyle w:val="Small"/>
      </w:pPr>
      <w:r>
        <w:t>Repository: MattRoper1977/Lessons</w:t>
      </w:r>
    </w:p>
    <w:p>
      <w:pPr>
        <w:pStyle w:val="Small"/>
      </w:pPr>
      <w:r>
        <w:t>Source path: Science_Teesside/Grow/SCI_G_W5_Fair_Test.html</w:t>
      </w:r>
    </w:p>
    <w:p>
      <w:pPr>
        <w:pStyle w:val="Small"/>
      </w:pPr>
      <w:r>
        <w:t>Source file Git blob: efdaeab196acc3a8a07e04b088c646ea3a8c724c</w:t>
      </w:r>
    </w:p>
    <w:p>
      <w:pPr>
        <w:pStyle w:val="Small"/>
      </w:pPr>
      <w:r>
        <w:t>Current source link (mutable): https://github.com/MattRoper1977/Lessons/blob/main/Science_Teesside/Grow/SCI_G_W5_Fair_Test.html</w:t>
      </w:r>
    </w:p>
    <w:p>
      <w:pPr>
        <w:pStyle w:val="Small"/>
      </w:pPr>
      <w:r>
        <w:t>Document revision: 2026-09-06</w:t>
      </w:r>
    </w:p>
    <w:p>
      <w:pPr>
        <w:pStyle w:val="Heading2"/>
      </w:pPr>
      <w:r>
        <w:t>Recorded conversion changes</w:t>
      </w:r>
    </w:p>
    <w:p>
      <w:pPr>
        <w:numPr>
          <w:ilvl w:val="0"/>
          <w:numId w:val="14"/>
        </w:numPr>
      </w:pPr>
      <w:r>
        <w:t>Current Monday stages retained; Tuesday's three-trial investigation is separate.</w:t>
      </w:r>
    </w:p>
    <w:p>
      <w:pPr>
        <w:numPr>
          <w:ilvl w:val="0"/>
          <w:numId w:val="14"/>
        </w:numPr>
      </w:pPr>
      <w:r>
        <w:t>Paper/spoken classification and editable variable map replace HTML interactions.</w:t>
      </w:r>
    </w:p>
    <w:p>
      <w:pPr>
        <w:numPr>
          <w:ilvl w:val="0"/>
          <w:numId w:val="14"/>
        </w:numPr>
      </w:pPr>
      <w:r>
        <w:t>A surprising result is distinguished from a known method problem; neither is silently deleted.</w:t>
      </w:r>
    </w:p>
    <w:p>
      <w:pPr>
        <w:numPr>
          <w:ilvl w:val="0"/>
          <w:numId w:val="14"/>
        </w:numPr>
      </w:pPr>
      <w:r>
        <w:t>Source WAGOLL changed from unobserved carpet claim to conditional/model-data wording.</w:t>
      </w:r>
    </w:p>
    <w:p>
      <w:pPr>
        <w:numPr>
          <w:ilvl w:val="0"/>
          <w:numId w:val="14"/>
        </w:numPr>
      </w:pPr>
      <w:r>
        <w:t>No external clips or publisher images copied; no logo substitute drawn.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  <w:pBdr>
        <w:top w:val="single" w:sz="4" w:color="B7CEC3" w:space="5"/>
      </w:pBdr>
    </w:pPr>
    <w:r>
      <w:rPr>
        <w:rFonts w:ascii="Arial" w:hAnsi="Arial"/>
        <w:b w:val="0"/>
        <w:color w:val="56686C"/>
        <w:sz w:val="17"/>
      </w:rPr>
      <w:t xml:space="preserve">Autumn 1 · Week 5 · Lesson A  |  Teacher materials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spacing w:after="100"/>
      <w:pBdr>
        <w:bottom w:val="single" w:sz="7" w:color="28675C" w:space="5"/>
      </w:pBdr>
    </w:pPr>
    <w:r>
      <w:rPr>
        <w:rFonts w:ascii="Arial" w:hAnsi="Arial"/>
        <w:b/>
        <w:color w:val="28675C"/>
        <w:sz w:val="19"/>
      </w:rPr>
      <w:t>MADE BY MATT  /  GROW SCIENCE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  <w:abstractNum w:abstractNumId="11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2">
    <w:abstractNumId w:val="11"/>
  </w:num>
  <w:abstractNum w:abstractNumId="12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3">
    <w:abstractNumId w:val="12"/>
  </w:num>
  <w:abstractNum w:abstractNumId="13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80" w:line="245" w:lineRule="auto"/>
    </w:pPr>
    <w:rPr>
      <w:rFonts w:ascii="Arial" w:hAnsi="Arial" w:eastAsia="Arial" w:cs="Arial"/>
      <w:b w:val="0"/>
      <w:color w:val="24394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160" w:after="80" w:line="250" w:lineRule="auto"/>
      <w:outlineLvl w:val="0"/>
      <w:pBdr>
        <w:bottom w:val="single" w:sz="4" w:color="B7CEC3" w:space="3"/>
      </w:pBdr>
    </w:pPr>
    <w:rPr>
      <w:rFonts w:ascii="Arial" w:hAnsi="Arial" w:eastAsia="Arial" w:cs="Arial"/>
      <w:b/>
      <w:bCs/>
      <w:color w:val="2867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20" w:after="60" w:line="252" w:lineRule="auto"/>
      <w:outlineLvl w:val="1"/>
    </w:pPr>
    <w:rPr>
      <w:rFonts w:ascii="Arial" w:hAnsi="Arial" w:eastAsia="Arial" w:cs="Arial"/>
      <w:b/>
      <w:bCs/>
      <w:color w:val="173348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45" w:lineRule="auto" w:before="0"/>
      <w:contextualSpacing/>
    </w:pPr>
    <w:rPr>
      <w:rFonts w:ascii="Arial" w:hAnsi="Arial" w:eastAsia="Arial" w:cs="Arial"/>
      <w:b/>
      <w:color w:val="173348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160" w:line="259" w:lineRule="auto"/>
    </w:pPr>
    <w:rPr>
      <w:rFonts w:ascii="Arial" w:hAnsi="Arial" w:eastAsia="Arial" w:cs="Arial"/>
      <w:b w:val="0"/>
      <w:i w:val="0"/>
      <w:iCs/>
      <w:color w:val="56686C"/>
      <w:spacing w:val="15"/>
      <w:sz w:val="23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20" w:line="245" w:lineRule="auto"/>
    </w:pPr>
    <w:rPr>
      <w:rFonts w:ascii="Arial" w:hAnsi="Arial" w:eastAsia="Arial" w:cs="Arial"/>
      <w:b/>
      <w:color w:val="28675C"/>
      <w:sz w:val="18"/>
    </w:rPr>
  </w:style>
  <w:style w:type="paragraph" w:customStyle="1" w:styleId="Small">
    <w:name w:val="Small"/>
    <w:pPr>
      <w:widowControl/>
      <w:spacing w:before="0" w:after="100" w:line="257" w:lineRule="auto"/>
    </w:pPr>
    <w:rPr>
      <w:rFonts w:ascii="Arial" w:hAnsi="Arial" w:eastAsia="Arial" w:cs="Arial"/>
      <w:b w:val="0"/>
      <w:color w:val="56686C"/>
      <w:sz w:val="18"/>
    </w:rPr>
  </w:style>
  <w:style w:type="paragraph" w:customStyle="1" w:styleId="ResponseLine">
    <w:name w:val="ResponseLine"/>
    <w:pPr>
      <w:widowControl/>
      <w:spacing w:before="0" w:after="0" w:line="440" w:lineRule="exact"/>
      <w:pBdr>
        <w:bottom w:val="single" w:sz="4" w:color="B7CEC3" w:space="0"/>
        <w:between w:val="single" w:sz="4" w:color="B7CEC3" w:space="0"/>
      </w:pBdr>
    </w:pPr>
    <w:rPr>
      <w:rFonts w:ascii="Arial" w:hAnsi="Arial" w:eastAsia="Arial" w:cs="Arial"/>
      <w:b w:val="0"/>
      <w:color w:val="243943"/>
      <w:sz w:val="24"/>
    </w:rPr>
  </w:style>
  <w:style w:type="paragraph" w:customStyle="1" w:styleId="Callout">
    <w:name w:val="Callout"/>
    <w:pPr>
      <w:widowControl/>
      <w:spacing w:before="140" w:after="180" w:line="264" w:lineRule="auto"/>
      <w:shd w:val="clear" w:fill="EDF5F0"/>
      <w:pBdr>
        <w:left w:val="single" w:sz="20" w:color="28675C" w:space="7"/>
      </w:pBdr>
      <w:ind w:left="136" w:right="91"/>
    </w:pPr>
    <w:rPr>
      <w:rFonts w:ascii="Arial" w:hAnsi="Arial" w:eastAsia="Arial" w:cs="Arial"/>
      <w:b w:val="0"/>
      <w:color w:val="243943"/>
      <w:sz w:val="23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Planning a fair test - GROW_Science_Autumn1_W5A_Fair_Test - Teacher</dc:title>
  <dc:subject>Autumn 1 · Week 5 · Lesson A</dc:subject>
  <dc:creator>Made by Matt</dc:creator>
  <cp:keywords>GROW, Science, Planning a fair test, Autumn 1, Week 5, Lesson A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