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Kicker"/>
        <w:shd w:val="clear" w:fill="EDF5F0"/>
        <w:pBdr>
          <w:left w:val="single" w:sz="16" w:color="28675C" w:space="5"/>
        </w:pBdr>
        <w:ind w:left="91"/>
      </w:pPr>
      <w:r>
        <w:t>TEACHER GUIDANCE / ANSWERS SEPARATE</w:t>
      </w:r>
    </w:p>
    <w:p>
      <w:pPr>
        <w:pStyle w:val="Title"/>
      </w:pPr>
      <w:r>
        <w:t>Two lever positions, one load</w:t>
      </w:r>
    </w:p>
    <w:p>
      <w:pPr>
        <w:pStyle w:val="Subtitle"/>
      </w:pPr>
      <w:r>
        <w:t>Autumn 1 · Week 4 · Lesson B · 40 minutes</w:t>
      </w:r>
    </w:p>
    <w:p>
      <w:pPr>
        <w:pStyle w:val="Heading1"/>
      </w:pPr>
      <w:r>
        <w:t>Learning objective</w:t>
      </w:r>
    </w:p>
    <w:p>
      <w:r>
        <w:t>Compare two lever pivot positions and explain the relationship between effort force and effort travel for the same load rise.</w:t>
      </w:r>
    </w:p>
    <w:p>
      <w:pPr>
        <w:pStyle w:val="Heading1"/>
      </w:pPr>
      <w:r>
        <w:t>Source lesson timing</w:t>
      </w:r>
    </w:p>
    <w:tbl>
      <w:tblPr>
        <w:tblLayout w:type="fixed"/>
        <w:tblLook w:firstColumn="1" w:firstRow="1" w:lastColumn="0" w:lastRow="0" w:noHBand="0" w:noVBand="1" w:val="04A0"/>
        <w:tblW w:w="9866" w:type="dxa"/>
        <w:jc w:val="left"/>
        <w:tblInd w:w="120" w:type="dxa"/>
        <w:tblCellMar>
          <w:top w:w="90" w:type="dxa"/>
          <w:left w:w="120" w:type="dxa"/>
          <w:bottom w:w="90" w:type="dxa"/>
          <w:right w:w="120" w:type="dxa"/>
        </w:tblCellMar>
        <w:tblBorders>
          <w:top w:val="single" w:sz="4" w:color="B7CEC3"/>
          <w:left w:val="single" w:sz="4" w:color="B7CEC3"/>
          <w:bottom w:val="single" w:sz="4" w:color="B7CEC3"/>
          <w:right w:val="single" w:sz="4" w:color="B7CEC3"/>
          <w:insideH w:val="single" w:sz="4" w:color="B7CEC3"/>
          <w:insideV w:val="single" w:sz="4" w:color="B7CEC3"/>
        </w:tblBorders>
      </w:tblPr>
      <w:tblGrid>
        <w:gridCol w:w="1800"/>
        <w:gridCol w:w="6766"/>
        <w:gridCol w:w="1300"/>
      </w:tblGrid>
      <w:tr>
        <w:trPr>
          <w:cantSplit/>
          <w:tblHeader/>
        </w:trPr>
        <w:tc>
          <w:tcPr>
            <w:vAlign w:val="center"/>
            <w:tcW w:w="1800" w:type="dxa"/>
            <w:shd w:fill="28675C" w:val="clear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/>
                <w:color w:val="FFFFFF"/>
                <w:sz w:val="22"/>
              </w:rPr>
              <w:t>Elapsed minutes</w:t>
            </w:r>
          </w:p>
        </w:tc>
        <w:tc>
          <w:tcPr>
            <w:vAlign w:val="center"/>
            <w:tcW w:w="6766" w:type="dxa"/>
            <w:shd w:fill="28675C" w:val="clear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/>
                <w:color w:val="FFFFFF"/>
                <w:sz w:val="22"/>
              </w:rPr>
              <w:t>Source stage</w:t>
            </w:r>
          </w:p>
        </w:tc>
        <w:tc>
          <w:tcPr>
            <w:vAlign w:val="center"/>
            <w:tcW w:w="1300" w:type="dxa"/>
            <w:shd w:fill="28675C" w:val="clear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/>
                <w:color w:val="FFFFFF"/>
                <w:sz w:val="22"/>
              </w:rPr>
              <w:t>Minutes</w:t>
            </w:r>
          </w:p>
        </w:tc>
      </w:tr>
      <w:tr>
        <w:trPr>
          <w:cantSplit/>
        </w:trPr>
        <w:tc>
          <w:tcPr>
            <w:vAlign w:val="center"/>
            <w:tcW w:w="1800" w:type="dxa"/>
            <w:shd w:val="clear" w:fill="EDF5F0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0–32</w:t>
            </w:r>
          </w:p>
        </w:tc>
        <w:tc>
          <w:tcPr>
            <w:vAlign w:val="center"/>
            <w:tcW w:w="6766" w:type="dxa"/>
            <w:shd w:val="clear" w:fill="EDF5F0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Independent Work</w:t>
            </w:r>
          </w:p>
        </w:tc>
        <w:tc>
          <w:tcPr>
            <w:vAlign w:val="center"/>
            <w:tcW w:w="1300" w:type="dxa"/>
            <w:shd w:val="clear" w:fill="EDF5F0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32</w:t>
            </w:r>
          </w:p>
        </w:tc>
      </w:tr>
      <w:tr>
        <w:trPr>
          <w:cantSplit/>
        </w:trPr>
        <w:tc>
          <w:tcPr>
            <w:vAlign w:val="center"/>
            <w:tcW w:w="1800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32–36</w:t>
            </w:r>
          </w:p>
        </w:tc>
        <w:tc>
          <w:tcPr>
            <w:vAlign w:val="center"/>
            <w:tcW w:w="6766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Lundy Loop</w:t>
            </w:r>
          </w:p>
        </w:tc>
        <w:tc>
          <w:tcPr>
            <w:vAlign w:val="center"/>
            <w:tcW w:w="1300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4</w:t>
            </w:r>
          </w:p>
        </w:tc>
      </w:tr>
      <w:tr>
        <w:trPr>
          <w:cantSplit/>
        </w:trPr>
        <w:tc>
          <w:tcPr>
            <w:vAlign w:val="center"/>
            <w:tcW w:w="1800" w:type="dxa"/>
            <w:shd w:val="clear" w:fill="EDF5F0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36–40</w:t>
            </w:r>
          </w:p>
        </w:tc>
        <w:tc>
          <w:tcPr>
            <w:vAlign w:val="center"/>
            <w:tcW w:w="6766" w:type="dxa"/>
            <w:shd w:val="clear" w:fill="EDF5F0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Exit Ticket</w:t>
            </w:r>
          </w:p>
        </w:tc>
        <w:tc>
          <w:tcPr>
            <w:vAlign w:val="center"/>
            <w:tcW w:w="1300" w:type="dxa"/>
            <w:shd w:val="clear" w:fill="EDF5F0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4</w:t>
            </w:r>
          </w:p>
        </w:tc>
      </w:tr>
    </w:tbl>
    <w:p>
      <w:pPr>
        <w:pStyle w:val="Small"/>
      </w:pPr>
      <w:r>
        <w:t>Split slide times are added within their original source stages. Printed tasks and adaptations replace activity within these timings; they do not add extra lesson time.</w:t>
      </w:r>
    </w:p>
    <w:p>
      <w:pPr>
        <w:pStyle w:val="Heading1"/>
      </w:pPr>
      <w:r>
        <w:t>Equipment and preparation</w:t>
      </w:r>
    </w:p>
    <w:p>
      <w:pPr>
        <w:numPr>
          <w:ilvl w:val="0"/>
          <w:numId w:val="10"/>
        </w:numPr>
      </w:pPr>
      <w:r>
        <w:t>Adult-secured ruler/card lever and broad stable pivot</w:t>
      </w:r>
    </w:p>
    <w:p>
      <w:pPr>
        <w:numPr>
          <w:ilvl w:val="0"/>
          <w:numId w:val="10"/>
        </w:numPr>
      </w:pPr>
      <w:r>
        <w:t>Light secured load such as an eraser; two marked pivot positions</w:t>
      </w:r>
    </w:p>
    <w:p>
      <w:pPr>
        <w:numPr>
          <w:ilvl w:val="0"/>
          <w:numId w:val="10"/>
        </w:numPr>
      </w:pPr>
      <w:r>
        <w:t>Fixed effort point and small target load-height mark</w:t>
      </w:r>
    </w:p>
    <w:p>
      <w:pPr>
        <w:numPr>
          <w:ilvl w:val="0"/>
          <w:numId w:val="10"/>
        </w:numPr>
      </w:pPr>
      <w:r>
        <w:t>Optional suitable ruler/tape for travel; force meter only if appropriate for genuine measurements</w:t>
      </w:r>
    </w:p>
    <w:p>
      <w:pPr>
        <w:pStyle w:val="Kicker"/>
        <w:pageBreakBefore/>
        <w:shd w:val="clear" w:fill="EDF5F0"/>
        <w:pBdr>
          <w:left w:val="single" w:sz="16" w:color="28675C" w:space="5"/>
        </w:pBdr>
        <w:ind w:left="91"/>
      </w:pPr>
      <w:r>
        <w:t>TEACHING SEQUENCE</w:t>
      </w:r>
    </w:p>
    <w:p>
      <w:pPr>
        <w:pStyle w:val="Title"/>
      </w:pPr>
      <w:r>
        <w:t>Guide the lesson</w:t>
      </w:r>
    </w:p>
    <w:p>
      <w:pPr>
        <w:pStyle w:val="Subtitle"/>
      </w:pPr>
      <w:r>
        <w:t>Use the source stage times; choose prompts appropriate to the pupil.</w:t>
      </w:r>
    </w:p>
    <w:p>
      <w:pPr>
        <w:pStyle w:val="Heading2"/>
        <w:keepNext/>
      </w:pPr>
      <w:r>
        <w:t>Independent Work · 32 minutes</w:t>
      </w:r>
    </w:p>
    <w:p>
      <w:r>
        <w:t>Retrieve/check setup 4 min; compare middle and near-load pivots 20 min; check controls 2 min; repeat, explain and tidy 6 min. Same load, effort point and small target rise; qualitative effort unless properly measured.</w:t>
      </w:r>
    </w:p>
    <w:p>
      <w:pPr>
        <w:pStyle w:val="Heading2"/>
        <w:keepNext/>
      </w:pPr>
      <w:r>
        <w:t>Lundy Loop · 4 minutes</w:t>
      </w:r>
    </w:p>
    <w:p>
      <w:r>
        <w:t>Listen to pupil access/evidence feedback, agree one feasible change and explain limits.</w:t>
      </w:r>
    </w:p>
    <w:p>
      <w:pPr>
        <w:pStyle w:val="Heading2"/>
        <w:keepNext/>
      </w:pPr>
      <w:r>
        <w:t>Exit Ticket · 4 minutes</w:t>
      </w:r>
    </w:p>
    <w:p>
      <w:r>
        <w:t>Name pivot, explain lever benefit or force-distance trade-off; attempt then check.</w:t>
      </w:r>
    </w:p>
    <w:p>
      <w:pPr>
        <w:pStyle w:val="Kicker"/>
        <w:pageBreakBefore/>
        <w:shd w:val="clear" w:fill="EDF5F0"/>
        <w:pBdr>
          <w:left w:val="single" w:sz="16" w:color="28675C" w:space="5"/>
        </w:pBdr>
        <w:ind w:left="91"/>
      </w:pPr>
      <w:r>
        <w:t>TEACHER ANSWERS</w:t>
      </w:r>
    </w:p>
    <w:p>
      <w:pPr>
        <w:pStyle w:val="Title"/>
      </w:pPr>
      <w:r>
        <w:t>Worked answers and expected evidence</w:t>
      </w:r>
    </w:p>
    <w:p>
      <w:pPr>
        <w:pStyle w:val="Subtitle"/>
      </w:pPr>
      <w:r>
        <w:t>Use after an attempt. Accept equivalent correct explanations; record support given.</w:t>
      </w:r>
    </w:p>
    <w:p>
      <w:pPr>
        <w:pStyle w:val="Heading2"/>
      </w:pPr>
      <w:r>
        <w:t>Gain and cost</w:t>
      </w:r>
    </w:p>
    <w:p>
      <w:r>
        <w:t>For the same load and rise, near-load pivot increases effort-arm/load-arm ratio. Required effort force falls ideally while effort travel increases. Real friction and bending limit model; accept honest similar/uncertain observations.</w:t>
      </w:r>
    </w:p>
    <w:p>
      <w:pPr>
        <w:pStyle w:val="Heading2"/>
      </w:pPr>
      <w:r>
        <w:t>1. Predict and prepare</w:t>
      </w:r>
    </w:p>
    <w:p>
      <w:r>
        <w:t>Labels locate effort on bar, pivot as turning point and secured load. Controls: same load and position, same effort point and small target load rise. Prediction: nearer-load pivot may feel easier while effort end travels farther. A prediction is judged by reasoning, not whether expected observation occurs.</w:t>
      </w:r>
    </w:p>
    <w:p>
      <w:pPr>
        <w:pStyle w:val="Heading2"/>
      </w:pPr>
      <w:r>
        <w:t>2. Record both positions</w:t>
      </w:r>
    </w:p>
    <w:p>
      <w:r>
        <w:t>No fixed numbers expected. Ideal trend: near-load pivot requires less effort force and larger effort travel for equal load rise. Actual observations may be similar/uncertain due to friction, bending or method. Do not fabricate numbers or classify feeling as a force measurement in N. Check controls and record who operated/observed.</w:t>
      </w:r>
    </w:p>
    <w:p>
      <w:pPr>
        <w:pStyle w:val="Heading2"/>
      </w:pPr>
      <w:r>
        <w:t>3. Check and explain</w:t>
      </w:r>
    </w:p>
    <w:p>
      <w:r>
        <w:t>Corrected control should be specific. Explanation: effort arm becomes longer relative to load arm; smaller effort force ideally lifts same load, but effort end must move farther. Mechanism does not create energy. Friction and bending affect real model. No-equipment route states prediction/explanation, not practical observation.</w:t>
      </w:r>
    </w:p>
    <w:p>
      <w:pPr>
        <w:pStyle w:val="Heading2"/>
      </w:pPr>
      <w:r>
        <w:t>4. Feedback and exit</w:t>
      </w:r>
    </w:p>
    <w:p>
      <w:r>
        <w:t>Feedback has no prescribed response; adult agrees feasible change and explains limits. Pivot; longer effort arm relative to load arm lowers required effort force ideally; effort moves farther for same load rise and mechanism cannot create energy. Real losses may add effort.</w:t>
      </w:r>
    </w:p>
    <w:p>
      <w:pPr>
        <w:pStyle w:val="Heading1"/>
      </w:pPr>
      <w:r>
        <w:t>Misconceptions and corrections</w:t>
      </w:r>
    </w:p>
    <w:p>
      <w:pPr>
        <w:numPr>
          <w:ilvl w:val="0"/>
          <w:numId w:val="11"/>
        </w:numPr>
      </w:pPr>
      <w:r>
        <w:t>Feeling easier is a numerical force measurement: it is qualitative unless measured using an appropriate meter.</w:t>
      </w:r>
    </w:p>
    <w:p>
      <w:pPr>
        <w:numPr>
          <w:ilvl w:val="0"/>
          <w:numId w:val="11"/>
        </w:numPr>
      </w:pPr>
      <w:r>
        <w:t>Changing load rise is harmless: both positions must lift same load through same small rise.</w:t>
      </w:r>
    </w:p>
    <w:p>
      <w:pPr>
        <w:numPr>
          <w:ilvl w:val="0"/>
          <w:numId w:val="11"/>
        </w:numPr>
      </w:pPr>
      <w:r>
        <w:t>Diagram predicts exact real values: schematic has no measured scale/data.</w:t>
      </w:r>
    </w:p>
    <w:p>
      <w:pPr>
        <w:numPr>
          <w:ilvl w:val="0"/>
          <w:numId w:val="11"/>
        </w:numPr>
      </w:pPr>
      <w:r>
        <w:t>Mechanism creates energy: force gain has distance trade-off, plus real losses.</w:t>
      </w:r>
    </w:p>
    <w:p>
      <w:pPr>
        <w:pStyle w:val="Kicker"/>
        <w:pageBreakBefore/>
        <w:shd w:val="clear" w:fill="EDF5F0"/>
        <w:pBdr>
          <w:left w:val="single" w:sz="16" w:color="28675C" w:space="5"/>
        </w:pBdr>
        <w:ind w:left="91"/>
      </w:pPr>
      <w:r>
        <w:t>PREPARATION / ACCESS / SOURCE RECORD</w:t>
      </w:r>
    </w:p>
    <w:p>
      <w:pPr>
        <w:pStyle w:val="Title"/>
      </w:pPr>
      <w:r>
        <w:t>Teach safely; keep the evidence</w:t>
      </w:r>
    </w:p>
    <w:p>
      <w:pPr>
        <w:pStyle w:val="Subtitle"/>
      </w:pPr>
      <w:r>
        <w:t>The source record identifies this conversion; it is not a claim of publication.</w:t>
      </w:r>
    </w:p>
    <w:p>
      <w:pPr>
        <w:pStyle w:val="Heading1"/>
      </w:pPr>
      <w:r>
        <w:t>Safety</w:t>
      </w:r>
    </w:p>
    <w:p>
      <w:pPr>
        <w:numPr>
          <w:ilvl w:val="0"/>
          <w:numId w:val="12"/>
        </w:numPr>
      </w:pPr>
      <w:r>
        <w:t>Use light secured load and controlled small lift; never launch objects.</w:t>
      </w:r>
    </w:p>
    <w:p>
      <w:pPr>
        <w:numPr>
          <w:ilvl w:val="0"/>
          <w:numId w:val="12"/>
        </w:numPr>
      </w:pPr>
      <w:r>
        <w:t>Adult checks pivot stability, attachment and work area before use.</w:t>
      </w:r>
    </w:p>
    <w:p>
      <w:pPr>
        <w:numPr>
          <w:ilvl w:val="0"/>
          <w:numId w:val="12"/>
        </w:numPr>
      </w:pPr>
      <w:r>
        <w:t>Hands clear of pivot; return all small parts and stop if kit shifts.</w:t>
      </w:r>
    </w:p>
    <w:p>
      <w:pPr>
        <w:numPr>
          <w:ilvl w:val="0"/>
          <w:numId w:val="12"/>
        </w:numPr>
      </w:pPr>
      <w:r>
        <w:t>Offer preassembled adult-operated model, observer/director route or labelled diagram explanation.</w:t>
      </w:r>
    </w:p>
    <w:p>
      <w:pPr>
        <w:pStyle w:val="Heading1"/>
      </w:pPr>
      <w:r>
        <w:t>Access and offline alternatives</w:t>
      </w:r>
    </w:p>
    <w:p>
      <w:pPr>
        <w:numPr>
          <w:ilvl w:val="0"/>
          <w:numId w:val="13"/>
        </w:numPr>
      </w:pPr>
      <w:r>
        <w:t>Direct/observe instead of touch, and dictate or point for records.</w:t>
      </w:r>
    </w:p>
    <w:p>
      <w:pPr>
        <w:numPr>
          <w:ilvl w:val="0"/>
          <w:numId w:val="13"/>
        </w:numPr>
      </w:pPr>
      <w:r>
        <w:t>No-kit route labels evidence as diagram explanation, never performed comparison.</w:t>
      </w:r>
    </w:p>
    <w:p>
      <w:pPr>
        <w:numPr>
          <w:ilvl w:val="0"/>
          <w:numId w:val="13"/>
        </w:numPr>
      </w:pPr>
      <w:r>
        <w:t>No internet/video/photography required; native diagram can be edited.</w:t>
      </w:r>
    </w:p>
    <w:p>
      <w:pPr>
        <w:pStyle w:val="Heading1"/>
      </w:pPr>
      <w:r>
        <w:t>Close and continue</w:t>
      </w:r>
    </w:p>
    <w:p>
      <w:r>
        <w:t>Tuesday ends at 40 minutes. Preserve 32 workshop + 4 feedback + 4 exit. Next current Week 5 investigates fair-test variables with a trolley.</w:t>
      </w:r>
    </w:p>
    <w:p>
      <w:pPr>
        <w:pStyle w:val="Heading1"/>
      </w:pPr>
      <w:r>
        <w:t>Source and revision</w:t>
      </w:r>
    </w:p>
    <w:p>
      <w:pPr>
        <w:pStyle w:val="Small"/>
      </w:pPr>
      <w:r>
        <w:t>Repository: MattRoper1977/Lessons</w:t>
      </w:r>
    </w:p>
    <w:p>
      <w:pPr>
        <w:pStyle w:val="Small"/>
      </w:pPr>
      <w:r>
        <w:t>Source path: Science_Teesside/Grow/SCI_G_W4_Mechanisms.html</w:t>
      </w:r>
    </w:p>
    <w:p>
      <w:pPr>
        <w:pStyle w:val="Small"/>
      </w:pPr>
      <w:r>
        <w:t>Source file Git blob: 8aa3e1f001c3d3c944207d4eb44b93b1df4d7e46</w:t>
      </w:r>
    </w:p>
    <w:p>
      <w:pPr>
        <w:pStyle w:val="Small"/>
      </w:pPr>
      <w:r>
        <w:t>Current source link (mutable): https://github.com/MattRoper1977/Lessons/blob/main/Science_Teesside/Grow/SCI_G_W4_Mechanisms.html</w:t>
      </w:r>
    </w:p>
    <w:p>
      <w:pPr>
        <w:pStyle w:val="Small"/>
      </w:pPr>
      <w:r>
        <w:t>Document revision: 2026-09-06</w:t>
      </w:r>
    </w:p>
    <w:p>
      <w:pPr>
        <w:pStyle w:val="Heading2"/>
      </w:pPr>
      <w:r>
        <w:t>Recorded conversion changes</w:t>
      </w:r>
    </w:p>
    <w:p>
      <w:pPr>
        <w:numPr>
          <w:ilvl w:val="0"/>
          <w:numId w:val="14"/>
        </w:numPr>
      </w:pPr>
      <w:r>
        <w:t>Current Tuesday structure kept: 32-minute workshop, 4-minute pupil feedback, 4-minute exit.</w:t>
      </w:r>
    </w:p>
    <w:p>
      <w:pPr>
        <w:numPr>
          <w:ilvl w:val="0"/>
          <w:numId w:val="14"/>
        </w:numPr>
      </w:pPr>
      <w:r>
        <w:t>Native editable diagram supports observation/directing and no-equipment explanation.</w:t>
      </w:r>
    </w:p>
    <w:p>
      <w:pPr>
        <w:numPr>
          <w:ilvl w:val="0"/>
          <w:numId w:val="14"/>
        </w:numPr>
      </w:pPr>
      <w:r>
        <w:t>Effort stays qualitative unless an appropriate force meter is actually used; no invented measurements.</w:t>
      </w:r>
    </w:p>
    <w:p>
      <w:pPr>
        <w:numPr>
          <w:ilvl w:val="0"/>
          <w:numId w:val="14"/>
        </w:numPr>
      </w:pPr>
      <w:r>
        <w:t>Same load, effort point and lift height are explicit controls.</w:t>
      </w:r>
    </w:p>
    <w:p>
      <w:pPr>
        <w:numPr>
          <w:ilvl w:val="0"/>
          <w:numId w:val="14"/>
        </w:numPr>
      </w:pPr>
      <w:r>
        <w:t>No publisher media copied; original logo resolution stays with release coordinator.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020" w:right="1020" w:bottom="1020" w:left="1020" w:header="340" w:footer="34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Small"/>
      <w:pBdr>
        <w:top w:val="single" w:sz="4" w:color="B7CEC3" w:space="5"/>
      </w:pBdr>
    </w:pPr>
    <w:r>
      <w:rPr>
        <w:rFonts w:ascii="Arial" w:hAnsi="Arial"/>
        <w:b w:val="0"/>
        <w:color w:val="56686C"/>
        <w:sz w:val="17"/>
      </w:rPr>
      <w:t xml:space="preserve">Autumn 1 · Week 4 · Lesson B  |  Teacher materials  | 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Kicker"/>
      <w:spacing w:after="100"/>
      <w:pBdr>
        <w:bottom w:val="single" w:sz="7" w:color="28675C" w:space="5"/>
      </w:pBdr>
    </w:pPr>
    <w:r>
      <w:rPr>
        <w:rFonts w:ascii="Arial" w:hAnsi="Arial"/>
        <w:b/>
        <w:color w:val="28675C"/>
        <w:sz w:val="19"/>
      </w:rPr>
      <w:t>MADE BY MATT  /  GROW SCIENCE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0">
    <w:abstractNumId w:val="9"/>
  </w:num>
  <w:abstractNum w:abstractNumId="10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1">
    <w:abstractNumId w:val="10"/>
  </w:num>
  <w:abstractNum w:abstractNumId="11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2">
    <w:abstractNumId w:val="11"/>
  </w:num>
  <w:abstractNum w:abstractNumId="12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3">
    <w:abstractNumId w:val="12"/>
  </w:num>
  <w:abstractNum w:abstractNumId="13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widowControl/>
      <w:spacing w:before="0" w:after="80" w:line="245" w:lineRule="auto"/>
    </w:pPr>
    <w:rPr>
      <w:rFonts w:ascii="Arial" w:hAnsi="Arial" w:eastAsia="Arial" w:cs="Arial"/>
      <w:b w:val="0"/>
      <w:color w:val="24394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widowControl/>
      <w:spacing w:before="160" w:after="80" w:line="250" w:lineRule="auto"/>
      <w:outlineLvl w:val="0"/>
      <w:pBdr>
        <w:bottom w:val="single" w:sz="4" w:color="B7CEC3" w:space="3"/>
      </w:pBdr>
    </w:pPr>
    <w:rPr>
      <w:rFonts w:ascii="Arial" w:hAnsi="Arial" w:eastAsia="Arial" w:cs="Arial"/>
      <w:b/>
      <w:bCs/>
      <w:color w:val="28675C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widowControl/>
      <w:spacing w:before="120" w:after="60" w:line="252" w:lineRule="auto"/>
      <w:outlineLvl w:val="1"/>
    </w:pPr>
    <w:rPr>
      <w:rFonts w:ascii="Arial" w:hAnsi="Arial" w:eastAsia="Arial" w:cs="Arial"/>
      <w:b/>
      <w:bCs/>
      <w:color w:val="173348"/>
      <w:sz w:val="23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keepNext/>
      <w:widowControl/>
      <w:spacing w:after="140" w:line="245" w:lineRule="auto" w:before="0"/>
      <w:contextualSpacing/>
    </w:pPr>
    <w:rPr>
      <w:rFonts w:ascii="Arial" w:hAnsi="Arial" w:eastAsia="Arial" w:cs="Arial"/>
      <w:b/>
      <w:color w:val="173348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keepNext/>
      <w:widowControl/>
      <w:numPr>
        <w:ilvl w:val="1"/>
      </w:numPr>
      <w:spacing w:before="0" w:after="160" w:line="259" w:lineRule="auto"/>
    </w:pPr>
    <w:rPr>
      <w:rFonts w:ascii="Arial" w:hAnsi="Arial" w:eastAsia="Arial" w:cs="Arial"/>
      <w:b w:val="0"/>
      <w:i w:val="0"/>
      <w:iCs/>
      <w:color w:val="56686C"/>
      <w:spacing w:val="15"/>
      <w:sz w:val="23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Kicker">
    <w:name w:val="Kicker"/>
    <w:pPr>
      <w:keepNext/>
      <w:widowControl/>
      <w:spacing w:before="0" w:after="120" w:line="245" w:lineRule="auto"/>
    </w:pPr>
    <w:rPr>
      <w:rFonts w:ascii="Arial" w:hAnsi="Arial" w:eastAsia="Arial" w:cs="Arial"/>
      <w:b/>
      <w:color w:val="28675C"/>
      <w:sz w:val="18"/>
    </w:rPr>
  </w:style>
  <w:style w:type="paragraph" w:customStyle="1" w:styleId="Small">
    <w:name w:val="Small"/>
    <w:pPr>
      <w:widowControl/>
      <w:spacing w:before="0" w:after="100" w:line="257" w:lineRule="auto"/>
    </w:pPr>
    <w:rPr>
      <w:rFonts w:ascii="Arial" w:hAnsi="Arial" w:eastAsia="Arial" w:cs="Arial"/>
      <w:b w:val="0"/>
      <w:color w:val="56686C"/>
      <w:sz w:val="18"/>
    </w:rPr>
  </w:style>
  <w:style w:type="paragraph" w:customStyle="1" w:styleId="ResponseLine">
    <w:name w:val="ResponseLine"/>
    <w:pPr>
      <w:widowControl/>
      <w:spacing w:before="0" w:after="0" w:line="440" w:lineRule="exact"/>
      <w:pBdr>
        <w:bottom w:val="single" w:sz="4" w:color="B7CEC3" w:space="0"/>
        <w:between w:val="single" w:sz="4" w:color="B7CEC3" w:space="0"/>
      </w:pBdr>
    </w:pPr>
    <w:rPr>
      <w:rFonts w:ascii="Arial" w:hAnsi="Arial" w:eastAsia="Arial" w:cs="Arial"/>
      <w:b w:val="0"/>
      <w:color w:val="243943"/>
      <w:sz w:val="24"/>
    </w:rPr>
  </w:style>
  <w:style w:type="paragraph" w:customStyle="1" w:styleId="Callout">
    <w:name w:val="Callout"/>
    <w:pPr>
      <w:widowControl/>
      <w:spacing w:before="140" w:after="180" w:line="264" w:lineRule="auto"/>
      <w:shd w:val="clear" w:fill="EDF5F0"/>
      <w:pBdr>
        <w:left w:val="single" w:sz="20" w:color="28675C" w:space="7"/>
      </w:pBdr>
      <w:ind w:left="136" w:right="91"/>
    </w:pPr>
    <w:rPr>
      <w:rFonts w:ascii="Arial" w:hAnsi="Arial" w:eastAsia="Arial" w:cs="Arial"/>
      <w:b w:val="0"/>
      <w:color w:val="243943"/>
      <w:sz w:val="23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Two lever positions, one load - GROW_Science_Autumn1_W4B_Lever_Test - Teacher</dc:title>
  <dc:subject>Autumn 1 · Week 4 · Lesson B</dc:subject>
  <dc:creator>Made by Matt</dc:creator>
  <cp:keywords>GROW, Science, Two lever positions, one load, Autumn 1, Week 4, Lesson B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