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Kicker"/>
        <w:shd w:val="clear" w:fill="EDF5F0"/>
        <w:pBdr>
          <w:left w:val="single" w:sz="16" w:color="28675C" w:space="5"/>
        </w:pBdr>
        <w:ind w:left="91"/>
      </w:pPr>
      <w:r>
        <w:t>PUPIL WORKSHEET</w:t>
      </w:r>
    </w:p>
    <w:p>
      <w:pPr>
        <w:pStyle w:val="Title"/>
      </w:pPr>
      <w:r>
        <w:t>Two lever positions, one load</w:t>
      </w:r>
    </w:p>
    <w:p>
      <w:pPr>
        <w:pStyle w:val="Subtitle"/>
      </w:pPr>
      <w:r>
        <w:t>Autumn 1 · Week 4 · Lesson B</w:t>
      </w:r>
    </w:p>
    <w:p>
      <w:r>
        <w:t>Name: ____________________________    Date: __________________</w:t>
      </w:r>
    </w:p>
    <w:p>
      <w:pPr>
        <w:pStyle w:val="Callout"/>
        <w:shd w:fill="EDF5F0" w:val="clear"/>
        <w:pBdr>
          <w:left w:val="single" w:sz="20" w:color="28675C" w:space="7"/>
        </w:pBdr>
      </w:pPr>
      <w:r>
        <w:t>Compare two lever pivot positions and explain the relationship between effort force and effort travel for the same load rise.</w:t>
      </w:r>
    </w:p>
    <w:p>
      <w:r>
        <w:t>Compare two lever positions with one light secured load. You may direct or observe an adult instead of handling the kit. Write what actually happens. If safe kit is unavailable, use the diagram explanation route and label it clearly.</w:t>
      </w:r>
    </w:p>
    <w:p>
      <w:pPr>
        <w:pStyle w:val="Heading1"/>
      </w:pPr>
      <w:r>
        <w:t>1. Predict and prepare</w:t>
      </w:r>
    </w:p>
    <w:p>
      <w:r>
        <w:t>Sketch the lever, or label a supplied diagram with EFFORT, PIVOT and LOAD. Predict what happens when the pivot moves nearer the load. Name the three main controls.</w:t>
      </w:r>
    </w:p>
    <w:p>
      <w:pPr>
        <w:numPr>
          <w:ilvl w:val="0"/>
          <w:numId w:val="10"/>
        </w:numPr>
      </w:pPr>
      <w:r>
        <w:t>My prediction: ___.</w:t>
      </w:r>
    </w:p>
    <w:p>
      <w:pPr>
        <w:numPr>
          <w:ilvl w:val="0"/>
          <w:numId w:val="10"/>
        </w:numPr>
      </w:pPr>
      <w:r>
        <w:t>Keep the same load, ___ and ___.</w:t>
      </w:r>
    </w:p>
    <w:p>
      <w:pPr>
        <w:numPr>
          <w:ilvl w:val="0"/>
          <w:numId w:val="10"/>
        </w:numPr>
      </w:pPr>
      <w:r>
        <w:t>My role: tester / observer / director / recorder.</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Kicker"/>
        <w:pageBreakBefore/>
        <w:shd w:val="clear" w:fill="EDF5F0"/>
        <w:pBdr>
          <w:left w:val="single" w:sz="16" w:color="28675C" w:space="5"/>
        </w:pBdr>
        <w:ind w:left="91"/>
      </w:pPr>
      <w:r>
        <w:t>PUPIL TASK / Autumn 1 · Week 4 · Lesson B</w:t>
      </w:r>
    </w:p>
    <w:p>
      <w:pPr>
        <w:pStyle w:val="Title"/>
      </w:pPr>
      <w:r>
        <w:t>2. Record both positions</w:t>
      </w:r>
    </w:p>
    <w:p>
      <w:pPr>
        <w:pStyle w:val="Subtitle"/>
      </w:pPr>
      <w:r>
        <w:t>Write, draw, point or dictate as agreed with your teacher.</w:t>
      </w:r>
    </w:p>
    <w:p>
      <w:r>
        <w:t>With the adult, compare a middle pivot and pivot nearer the load. Raise the same load to the same small target height. Record effort as easier, similar or harder relative to the first position. Observe hand travel, or measure if suitable equipment is available.</w:t>
      </w:r>
    </w:p>
    <w:tbl>
      <w:tblPr>
        <w:tblLayout w:type="fixed"/>
        <w:tblLook w:firstColumn="1" w:firstRow="1" w:lastColumn="0" w:lastRow="0" w:noHBand="0" w:noVBand="1" w:val="04A0"/>
        <w:tblW w:w="9866" w:type="dxa"/>
        <w:jc w:val="left"/>
        <w:tblInd w:w="120" w:type="dxa"/>
        <w:tblCellMar>
          <w:top w:w="90" w:type="dxa"/>
          <w:left w:w="120" w:type="dxa"/>
          <w:bottom w:w="90" w:type="dxa"/>
          <w:right w:w="120" w:type="dxa"/>
        </w:tblCellMar>
        <w:tblBorders>
          <w:top w:val="single" w:sz="4" w:color="B7CEC3"/>
          <w:left w:val="single" w:sz="4" w:color="B7CEC3"/>
          <w:bottom w:val="single" w:sz="4" w:color="B7CEC3"/>
          <w:right w:val="single" w:sz="4" w:color="B7CEC3"/>
          <w:insideH w:val="single" w:sz="4" w:color="B7CEC3"/>
          <w:insideV w:val="single" w:sz="4" w:color="B7CEC3"/>
        </w:tblBorders>
      </w:tblPr>
      <w:tblGrid>
        <w:gridCol w:w="4019"/>
        <w:gridCol w:w="2923"/>
        <w:gridCol w:w="2924"/>
      </w:tblGrid>
      <w:tr>
        <w:trPr>
          <w:cantSplit/>
          <w:tblHeader/>
        </w:trPr>
        <w:tc>
          <w:tcPr>
            <w:vAlign w:val="center"/>
            <w:tcW w:w="4019" w:type="dxa"/>
            <w:shd w:fill="28675C" w:val="clear"/>
          </w:tcPr>
          <w:p>
            <w:pPr>
              <w:spacing w:after="60" w:before="0" w:line="257" w:lineRule="auto"/>
            </w:pPr>
            <w:r>
              <w:rPr>
                <w:rFonts w:ascii="Arial" w:hAnsi="Arial"/>
                <w:b/>
                <w:color w:val="FFFFFF"/>
                <w:sz w:val="22"/>
              </w:rPr>
              <w:t>What to compare</w:t>
            </w:r>
          </w:p>
        </w:tc>
        <w:tc>
          <w:tcPr>
            <w:vAlign w:val="center"/>
            <w:tcW w:w="2923" w:type="dxa"/>
            <w:shd w:fill="28675C" w:val="clear"/>
          </w:tcPr>
          <w:p>
            <w:pPr>
              <w:spacing w:after="60" w:before="0" w:line="257" w:lineRule="auto"/>
            </w:pPr>
            <w:r>
              <w:rPr>
                <w:rFonts w:ascii="Arial" w:hAnsi="Arial"/>
                <w:b/>
                <w:color w:val="FFFFFF"/>
                <w:sz w:val="22"/>
              </w:rPr>
              <w:t>Middle pivot</w:t>
            </w:r>
          </w:p>
        </w:tc>
        <w:tc>
          <w:tcPr>
            <w:vAlign w:val="center"/>
            <w:tcW w:w="2924" w:type="dxa"/>
            <w:shd w:fill="28675C" w:val="clear"/>
          </w:tcPr>
          <w:p>
            <w:pPr>
              <w:spacing w:after="60" w:before="0" w:line="257" w:lineRule="auto"/>
            </w:pPr>
            <w:r>
              <w:rPr>
                <w:rFonts w:ascii="Arial" w:hAnsi="Arial"/>
                <w:b/>
                <w:color w:val="FFFFFF"/>
                <w:sz w:val="22"/>
              </w:rPr>
              <w:t>Pivot nearer load</w:t>
            </w:r>
          </w:p>
        </w:tc>
      </w:tr>
      <w:tr>
        <w:trPr>
          <w:cantSplit/>
          <w:trHeight w:val="780" w:hRule="atLeast"/>
        </w:trPr>
        <w:tc>
          <w:tcPr>
            <w:vAlign w:val="center"/>
            <w:tcW w:w="4019" w:type="dxa"/>
            <w:shd w:val="clear" w:fill="FFFFFF"/>
          </w:tcPr>
          <w:p>
            <w:pPr>
              <w:spacing w:after="60" w:before="0" w:line="257" w:lineRule="auto"/>
            </w:pPr>
            <w:r>
              <w:rPr>
                <w:rFonts w:ascii="Arial" w:hAnsi="Arial"/>
                <w:b w:val="0"/>
                <w:color w:val="243943"/>
                <w:sz w:val="22"/>
              </w:rPr>
              <w:t>Same load and load rise checked?</w:t>
            </w:r>
          </w:p>
        </w:tc>
        <w:tc>
          <w:tcPr>
            <w:vAlign w:val="center"/>
            <w:tcW w:w="2923" w:type="dxa"/>
            <w:shd w:val="clear" w:fill="FFFFFF"/>
          </w:tcPr>
          <w:p>
            <w:pPr>
              <w:spacing w:after="60" w:before="0" w:line="257" w:lineRule="auto"/>
            </w:pPr>
            <w:r>
              <w:rPr>
                <w:rFonts w:ascii="Arial" w:hAnsi="Arial"/>
                <w:b w:val="0"/>
                <w:color w:val="243943"/>
                <w:sz w:val="22"/>
              </w:rPr>
            </w:r>
          </w:p>
        </w:tc>
        <w:tc>
          <w:tcPr>
            <w:vAlign w:val="center"/>
            <w:tcW w:w="2924" w:type="dxa"/>
            <w:shd w:val="clear" w:fill="FFFFFF"/>
          </w:tcPr>
          <w:p>
            <w:pPr>
              <w:spacing w:after="60" w:before="0" w:line="257" w:lineRule="auto"/>
            </w:pPr>
            <w:r>
              <w:rPr>
                <w:rFonts w:ascii="Arial" w:hAnsi="Arial"/>
                <w:b w:val="0"/>
                <w:color w:val="243943"/>
                <w:sz w:val="22"/>
              </w:rPr>
            </w:r>
          </w:p>
        </w:tc>
      </w:tr>
      <w:tr>
        <w:trPr>
          <w:cantSplit/>
          <w:trHeight w:val="780" w:hRule="atLeast"/>
        </w:trPr>
        <w:tc>
          <w:tcPr>
            <w:vAlign w:val="center"/>
            <w:tcW w:w="4019" w:type="dxa"/>
            <w:shd w:val="clear" w:fill="FFFFFF"/>
          </w:tcPr>
          <w:p>
            <w:pPr>
              <w:spacing w:after="60" w:before="0" w:line="257" w:lineRule="auto"/>
            </w:pPr>
            <w:r>
              <w:rPr>
                <w:rFonts w:ascii="Arial" w:hAnsi="Arial"/>
                <w:b w:val="0"/>
                <w:color w:val="243943"/>
                <w:sz w:val="22"/>
              </w:rPr>
              <w:t>Effort: observation/comparison</w:t>
            </w:r>
          </w:p>
        </w:tc>
        <w:tc>
          <w:tcPr>
            <w:vAlign w:val="center"/>
            <w:tcW w:w="2923" w:type="dxa"/>
            <w:shd w:val="clear" w:fill="FFFFFF"/>
          </w:tcPr>
          <w:p>
            <w:pPr>
              <w:spacing w:after="60" w:before="0" w:line="257" w:lineRule="auto"/>
            </w:pPr>
            <w:r>
              <w:rPr>
                <w:rFonts w:ascii="Arial" w:hAnsi="Arial"/>
                <w:b w:val="0"/>
                <w:color w:val="243943"/>
                <w:sz w:val="22"/>
              </w:rPr>
            </w:r>
          </w:p>
        </w:tc>
        <w:tc>
          <w:tcPr>
            <w:vAlign w:val="center"/>
            <w:tcW w:w="2924" w:type="dxa"/>
            <w:shd w:val="clear" w:fill="FFFFFF"/>
          </w:tcPr>
          <w:p>
            <w:pPr>
              <w:spacing w:after="60" w:before="0" w:line="257" w:lineRule="auto"/>
            </w:pPr>
            <w:r>
              <w:rPr>
                <w:rFonts w:ascii="Arial" w:hAnsi="Arial"/>
                <w:b w:val="0"/>
                <w:color w:val="243943"/>
                <w:sz w:val="22"/>
              </w:rPr>
            </w:r>
          </w:p>
        </w:tc>
      </w:tr>
      <w:tr>
        <w:trPr>
          <w:cantSplit/>
          <w:trHeight w:val="780" w:hRule="atLeast"/>
        </w:trPr>
        <w:tc>
          <w:tcPr>
            <w:vAlign w:val="center"/>
            <w:tcW w:w="4019" w:type="dxa"/>
            <w:shd w:val="clear" w:fill="FFFFFF"/>
          </w:tcPr>
          <w:p>
            <w:pPr>
              <w:spacing w:after="60" w:before="0" w:line="257" w:lineRule="auto"/>
            </w:pPr>
            <w:r>
              <w:rPr>
                <w:rFonts w:ascii="Arial" w:hAnsi="Arial"/>
                <w:b w:val="0"/>
                <w:color w:val="243943"/>
                <w:sz w:val="22"/>
              </w:rPr>
              <w:t>Hand travel: observation or value + unit</w:t>
            </w:r>
          </w:p>
        </w:tc>
        <w:tc>
          <w:tcPr>
            <w:vAlign w:val="center"/>
            <w:tcW w:w="2923" w:type="dxa"/>
            <w:shd w:val="clear" w:fill="FFFFFF"/>
          </w:tcPr>
          <w:p>
            <w:pPr>
              <w:spacing w:after="60" w:before="0" w:line="257" w:lineRule="auto"/>
            </w:pPr>
            <w:r>
              <w:rPr>
                <w:rFonts w:ascii="Arial" w:hAnsi="Arial"/>
                <w:b w:val="0"/>
                <w:color w:val="243943"/>
                <w:sz w:val="22"/>
              </w:rPr>
            </w:r>
          </w:p>
        </w:tc>
        <w:tc>
          <w:tcPr>
            <w:vAlign w:val="center"/>
            <w:tcW w:w="2924" w:type="dxa"/>
            <w:shd w:val="clear" w:fill="FFFFFF"/>
          </w:tcPr>
          <w:p>
            <w:pPr>
              <w:spacing w:after="60" w:before="0" w:line="257" w:lineRule="auto"/>
            </w:pPr>
            <w:r>
              <w:rPr>
                <w:rFonts w:ascii="Arial" w:hAnsi="Arial"/>
                <w:b w:val="0"/>
                <w:color w:val="243943"/>
                <w:sz w:val="22"/>
              </w:rPr>
            </w:r>
          </w:p>
        </w:tc>
      </w:tr>
      <w:tr>
        <w:trPr>
          <w:cantSplit/>
          <w:trHeight w:val="780" w:hRule="atLeast"/>
        </w:trPr>
        <w:tc>
          <w:tcPr>
            <w:vAlign w:val="center"/>
            <w:tcW w:w="4019" w:type="dxa"/>
            <w:shd w:val="clear" w:fill="FFFFFF"/>
          </w:tcPr>
          <w:p>
            <w:pPr>
              <w:spacing w:after="60" w:before="0" w:line="257" w:lineRule="auto"/>
            </w:pPr>
            <w:r>
              <w:rPr>
                <w:rFonts w:ascii="Arial" w:hAnsi="Arial"/>
                <w:b w:val="0"/>
                <w:color w:val="243943"/>
                <w:sz w:val="22"/>
              </w:rPr>
              <w:t>Method or model concern</w:t>
            </w:r>
          </w:p>
        </w:tc>
        <w:tc>
          <w:tcPr>
            <w:vAlign w:val="center"/>
            <w:tcW w:w="2923" w:type="dxa"/>
            <w:shd w:val="clear" w:fill="FFFFFF"/>
          </w:tcPr>
          <w:p>
            <w:pPr>
              <w:spacing w:after="60" w:before="0" w:line="257" w:lineRule="auto"/>
            </w:pPr>
            <w:r>
              <w:rPr>
                <w:rFonts w:ascii="Arial" w:hAnsi="Arial"/>
                <w:b w:val="0"/>
                <w:color w:val="243943"/>
                <w:sz w:val="22"/>
              </w:rPr>
            </w:r>
          </w:p>
        </w:tc>
        <w:tc>
          <w:tcPr>
            <w:vAlign w:val="center"/>
            <w:tcW w:w="2924" w:type="dxa"/>
            <w:shd w:val="clear" w:fill="FFFFFF"/>
          </w:tcPr>
          <w:p>
            <w:pPr>
              <w:spacing w:after="60" w:before="0" w:line="257" w:lineRule="auto"/>
            </w:pPr>
            <w:r>
              <w:rPr>
                <w:rFonts w:ascii="Arial" w:hAnsi="Arial"/>
                <w:b w:val="0"/>
                <w:color w:val="243943"/>
                <w:sz w:val="22"/>
              </w:rPr>
            </w:r>
          </w:p>
        </w:tc>
      </w:tr>
    </w:tbl>
    <w:p>
      <w:pPr>
        <w:pStyle w:val="Callout"/>
        <w:shd w:fill="EDF5F0" w:val="clear"/>
        <w:pBdr>
          <w:left w:val="single" w:sz="20" w:color="28675C" w:space="7"/>
        </w:pBdr>
      </w:pPr>
      <w:r>
        <w:t>Only write cm if measured. Only write force in N if an appropriate force meter was used. Similar or uncertain is an honest observation.</w:t>
      </w:r>
    </w:p>
    <w:p>
      <w:pPr>
        <w:pStyle w:val="Kicker"/>
        <w:pageBreakBefore/>
        <w:shd w:val="clear" w:fill="EDF5F0"/>
        <w:pBdr>
          <w:left w:val="single" w:sz="16" w:color="28675C" w:space="5"/>
        </w:pBdr>
        <w:ind w:left="91"/>
      </w:pPr>
      <w:r>
        <w:t>PUPIL TASK / Autumn 1 · Week 4 · Lesson B</w:t>
      </w:r>
    </w:p>
    <w:p>
      <w:pPr>
        <w:pStyle w:val="Title"/>
      </w:pPr>
      <w:r>
        <w:t>3. Check and explain</w:t>
      </w:r>
    </w:p>
    <w:p>
      <w:pPr>
        <w:pStyle w:val="Subtitle"/>
      </w:pPr>
      <w:r>
        <w:t>Write, draw, point or dictate as agreed with your teacher.</w:t>
      </w:r>
    </w:p>
    <w:p>
      <w:r>
        <w:t>Pause and check load, lift height and effort point. Repeat one comparison if safe and time allows. Keep earlier observations. Then explain the gain and cost, or use a clearly labelled diagram explanation if no apparatus was used.</w:t>
      </w:r>
    </w:p>
    <w:p>
      <w:pPr>
        <w:numPr>
          <w:ilvl w:val="0"/>
          <w:numId w:val="11"/>
        </w:numPr>
      </w:pPr>
      <w:r>
        <w:t>One control checked: ___.</w:t>
      </w:r>
    </w:p>
    <w:p>
      <w:pPr>
        <w:numPr>
          <w:ilvl w:val="0"/>
          <w:numId w:val="11"/>
        </w:numPr>
      </w:pPr>
      <w:r>
        <w:t>A retry or revised label: ___.</w:t>
      </w:r>
    </w:p>
    <w:p>
      <w:pPr>
        <w:numPr>
          <w:ilvl w:val="0"/>
          <w:numId w:val="11"/>
        </w:numPr>
      </w:pPr>
      <w:r>
        <w:t>With the pivot nearer the load, ___.</w:t>
      </w:r>
    </w:p>
    <w:p>
      <w:pPr>
        <w:numPr>
          <w:ilvl w:val="0"/>
          <w:numId w:val="11"/>
        </w:numPr>
      </w:pPr>
      <w:r>
        <w:t>For the same small load rise, ___.</w:t>
      </w:r>
    </w:p>
    <w:p>
      <w:pPr>
        <w:numPr>
          <w:ilvl w:val="0"/>
          <w:numId w:val="11"/>
        </w:numPr>
      </w:pPr>
      <w:r>
        <w:t>One real-model limitation: ___.</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Kicker"/>
        <w:pageBreakBefore/>
        <w:shd w:val="clear" w:fill="EDF5F0"/>
        <w:pBdr>
          <w:left w:val="single" w:sz="16" w:color="28675C" w:space="5"/>
        </w:pBdr>
        <w:ind w:left="91"/>
      </w:pPr>
      <w:r>
        <w:t>PUPIL TASK / Autumn 1 · Week 4 · Lesson B</w:t>
      </w:r>
    </w:p>
    <w:p>
      <w:pPr>
        <w:pStyle w:val="Title"/>
      </w:pPr>
      <w:r>
        <w:t>4. Feedback and exit</w:t>
      </w:r>
    </w:p>
    <w:p>
      <w:pPr>
        <w:pStyle w:val="Subtitle"/>
      </w:pPr>
      <w:r>
        <w:t>Write, draw, point or dictate as agreed with your teacher.</w:t>
      </w:r>
    </w:p>
    <w:p>
      <w:r>
        <w:t>Offer the adult one observation or access request, or pass privately. Choose one exit question and answer by pointing, speech, drawing or writing.</w:t>
      </w:r>
    </w:p>
    <w:p>
      <w:pPr>
        <w:numPr>
          <w:ilvl w:val="0"/>
          <w:numId w:val="12"/>
        </w:numPr>
      </w:pPr>
      <w:r>
        <w:t>What helped, or what could change?</w:t>
      </w:r>
    </w:p>
    <w:p>
      <w:pPr>
        <w:numPr>
          <w:ilvl w:val="0"/>
          <w:numId w:val="12"/>
        </w:numPr>
      </w:pPr>
      <w:r>
        <w:t>Supported: name the point a lever turns around.</w:t>
      </w:r>
    </w:p>
    <w:p>
      <w:pPr>
        <w:numPr>
          <w:ilvl w:val="0"/>
          <w:numId w:val="12"/>
        </w:numPr>
      </w:pPr>
      <w:r>
        <w:t>Standard: why can a pivot nearer the load help lifting?</w:t>
      </w:r>
    </w:p>
    <w:p>
      <w:pPr>
        <w:numPr>
          <w:ilvl w:val="0"/>
          <w:numId w:val="12"/>
        </w:numPr>
      </w:pPr>
      <w:r>
        <w:t>Stretch: why does the benefit have a cost?</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Kicker"/>
        <w:pageBreakBefore/>
        <w:shd w:val="clear" w:fill="EDF5F0"/>
        <w:pBdr>
          <w:left w:val="single" w:sz="16" w:color="28675C" w:space="5"/>
        </w:pBdr>
        <w:ind w:left="91"/>
      </w:pPr>
      <w:r>
        <w:t>CHOOSE A RESPONSE ROUTE</w:t>
      </w:r>
    </w:p>
    <w:p>
      <w:pPr>
        <w:pStyle w:val="Title"/>
      </w:pPr>
      <w:r>
        <w:t>Ways to show your understanding</w:t>
      </w:r>
    </w:p>
    <w:p>
      <w:pPr>
        <w:pStyle w:val="Subtitle"/>
      </w:pPr>
      <w:r>
        <w:t>Choose the route agreed with your teacher. You do not need to complete every route.</w:t>
      </w:r>
    </w:p>
    <w:p>
      <w:pPr>
        <w:pStyle w:val="Heading1"/>
      </w:pPr>
      <w:r>
        <w:t>Supported</w:t>
      </w:r>
    </w:p>
    <w:p>
      <w:r>
        <w:t>Direct/observe both pivot positions. Point to effort, pivot and load; select easier/similar/harder and tell the adult if the effort felt similar.</w:t>
      </w:r>
    </w:p>
    <w:p>
      <w:pPr>
        <w:pStyle w:val="Heading1"/>
      </w:pPr>
      <w:r>
        <w:t>Standard</w:t>
      </w:r>
    </w:p>
    <w:p>
      <w:r>
        <w:t>Keep load and target rise constant, compare both positions and explain the change in effort arm.</w:t>
      </w:r>
    </w:p>
    <w:p>
      <w:pPr>
        <w:pStyle w:val="Heading1"/>
      </w:pPr>
      <w:r>
        <w:t>Stretch</w:t>
      </w:r>
    </w:p>
    <w:p>
      <w:r>
        <w:t>Compare hand travel for the same load rise. Use measured values only with appropriate equipment and units; explain a limitation of the real model.</w:t>
      </w:r>
    </w:p>
    <w:p>
      <w:pPr>
        <w:pStyle w:val="Callout"/>
        <w:shd w:fill="EDF5F0" w:val="clear"/>
        <w:pBdr>
          <w:left w:val="single" w:sz="20" w:color="28675C" w:space="7"/>
        </w:pBdr>
      </w:pPr>
      <w:r>
        <w:t>Keep the labelled sketch, observations and explanation. Next week's current sequence plans a fair trolley test.</w:t>
      </w:r>
    </w:p>
    <w:sectPr w:rsidR="00FC693F" w:rsidRPr="0006063C" w:rsidSect="00034616">
      <w:headerReference w:type="default" r:id="rId9"/>
      <w:footerReference w:type="default" r:id="rId10"/>
      <w:pgSz w:w="11906" w:h="16838"/>
      <w:pgMar w:top="1020" w:right="1020" w:bottom="1020" w:left="1020" w:header="340" w:footer="34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Small"/>
      <w:pBdr>
        <w:top w:val="single" w:sz="4" w:color="B7CEC3" w:space="5"/>
      </w:pBdr>
    </w:pPr>
    <w:r>
      <w:rPr>
        <w:rFonts w:ascii="Arial" w:hAnsi="Arial"/>
        <w:b w:val="0"/>
        <w:color w:val="56686C"/>
        <w:sz w:val="17"/>
      </w:rPr>
      <w:t xml:space="preserve">Autumn 1 · Week 4 · Lesson B  |  Pupil materials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Kicker"/>
      <w:spacing w:after="100"/>
      <w:pBdr>
        <w:bottom w:val="single" w:sz="7" w:color="28675C" w:space="5"/>
      </w:pBdr>
    </w:pPr>
    <w:r>
      <w:rPr>
        <w:rFonts w:ascii="Arial" w:hAnsi="Arial"/>
        <w:b/>
        <w:color w:val="28675C"/>
        <w:sz w:val="19"/>
      </w:rPr>
      <w:t>MADE BY MATT  /  GROW SCIENCE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lvl w:ilvl="0">
      <w:start w:val="1"/>
      <w:numFmt w:val="bullet"/>
      <w:lvlText w:val="•"/>
      <w:lvlJc w:val="left"/>
      <w:pPr>
        <w:ind w:left="360" w:hanging="180"/>
      </w:pPr>
      <w:rPr>
        <w:rFonts w:ascii="Arial" w:hAnsi="Arial"/>
      </w:rPr>
    </w:lvl>
  </w:abstractNum>
  <w:num w:numId="10">
    <w:abstractNumId w:val="9"/>
  </w:num>
  <w:abstractNum w:abstractNumId="10">
    <w:lvl w:ilvl="0">
      <w:start w:val="1"/>
      <w:numFmt w:val="bullet"/>
      <w:lvlText w:val="•"/>
      <w:lvlJc w:val="left"/>
      <w:pPr>
        <w:ind w:left="360" w:hanging="180"/>
      </w:pPr>
      <w:rPr>
        <w:rFonts w:ascii="Arial" w:hAnsi="Arial"/>
      </w:rPr>
    </w:lvl>
  </w:abstractNum>
  <w:num w:numId="11">
    <w:abstractNumId w:val="10"/>
  </w:num>
  <w:abstractNum w:abstractNumId="11">
    <w:lvl w:ilvl="0">
      <w:start w:val="1"/>
      <w:numFmt w:val="bullet"/>
      <w:lvlText w:val="•"/>
      <w:lvlJc w:val="left"/>
      <w:pPr>
        <w:ind w:left="360" w:hanging="180"/>
      </w:pPr>
      <w:rPr>
        <w:rFonts w:ascii="Arial" w:hAnsi="Arial"/>
      </w:rPr>
    </w:lvl>
  </w:abstract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before="0" w:after="120" w:line="254" w:lineRule="auto"/>
    </w:pPr>
    <w:rPr>
      <w:rFonts w:ascii="Arial" w:hAnsi="Arial" w:eastAsia="Arial" w:cs="Arial"/>
      <w:b w:val="0"/>
      <w:color w:val="243943"/>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widowControl/>
      <w:spacing w:before="200" w:after="100" w:line="250" w:lineRule="auto"/>
      <w:outlineLvl w:val="0"/>
      <w:pBdr>
        <w:bottom w:val="single" w:sz="4" w:color="B7CEC3" w:space="3"/>
      </w:pBdr>
    </w:pPr>
    <w:rPr>
      <w:rFonts w:ascii="Arial" w:hAnsi="Arial" w:eastAsia="Arial" w:cs="Arial"/>
      <w:b/>
      <w:bCs/>
      <w:color w:val="28675C"/>
      <w:sz w:val="30"/>
      <w:szCs w:val="28"/>
    </w:rPr>
  </w:style>
  <w:style w:type="paragraph" w:styleId="Heading2">
    <w:name w:val="heading 2"/>
    <w:basedOn w:val="Normal"/>
    <w:next w:val="Normal"/>
    <w:link w:val="Heading2Char"/>
    <w:uiPriority w:val="9"/>
    <w:unhideWhenUsed/>
    <w:qFormat/>
    <w:rsid w:val="00FC693F"/>
    <w:pPr>
      <w:keepNext/>
      <w:keepLines/>
      <w:widowControl/>
      <w:spacing w:before="160" w:after="80" w:line="252" w:lineRule="auto"/>
      <w:outlineLvl w:val="1"/>
    </w:pPr>
    <w:rPr>
      <w:rFonts w:ascii="Arial" w:hAnsi="Arial" w:eastAsia="Arial" w:cs="Arial"/>
      <w:b/>
      <w:bCs/>
      <w:color w:val="173348"/>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widowControl/>
      <w:spacing w:after="140" w:line="245" w:lineRule="auto" w:before="0"/>
      <w:contextualSpacing/>
    </w:pPr>
    <w:rPr>
      <w:rFonts w:ascii="Arial" w:hAnsi="Arial" w:eastAsia="Arial" w:cs="Arial"/>
      <w:b/>
      <w:color w:val="173348"/>
      <w:spacing w:val="5"/>
      <w:kern w:val="28"/>
      <w:sz w:val="5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widowControl/>
      <w:numPr>
        <w:ilvl w:val="1"/>
      </w:numPr>
      <w:spacing w:before="0" w:after="160" w:line="259" w:lineRule="auto"/>
    </w:pPr>
    <w:rPr>
      <w:rFonts w:ascii="Arial" w:hAnsi="Arial" w:eastAsia="Arial" w:cs="Arial"/>
      <w:b w:val="0"/>
      <w:i w:val="0"/>
      <w:iCs/>
      <w:color w:val="56686C"/>
      <w:spacing w:val="15"/>
      <w:sz w:val="23"/>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Kicker">
    <w:name w:val="Kicker"/>
    <w:pPr>
      <w:keepNext/>
      <w:widowControl/>
      <w:spacing w:before="0" w:after="120" w:line="245" w:lineRule="auto"/>
    </w:pPr>
    <w:rPr>
      <w:rFonts w:ascii="Arial" w:hAnsi="Arial" w:eastAsia="Arial" w:cs="Arial"/>
      <w:b/>
      <w:color w:val="28675C"/>
      <w:sz w:val="18"/>
    </w:rPr>
  </w:style>
  <w:style w:type="paragraph" w:customStyle="1" w:styleId="Small">
    <w:name w:val="Small"/>
    <w:pPr>
      <w:widowControl/>
      <w:spacing w:before="0" w:after="100" w:line="257" w:lineRule="auto"/>
    </w:pPr>
    <w:rPr>
      <w:rFonts w:ascii="Arial" w:hAnsi="Arial" w:eastAsia="Arial" w:cs="Arial"/>
      <w:b w:val="0"/>
      <w:color w:val="56686C"/>
      <w:sz w:val="18"/>
    </w:rPr>
  </w:style>
  <w:style w:type="paragraph" w:customStyle="1" w:styleId="ResponseLine">
    <w:name w:val="ResponseLine"/>
    <w:pPr>
      <w:widowControl/>
      <w:spacing w:before="0" w:after="0" w:line="440" w:lineRule="exact"/>
      <w:pBdr>
        <w:bottom w:val="single" w:sz="4" w:color="B7CEC3" w:space="0"/>
        <w:between w:val="single" w:sz="4" w:color="B7CEC3" w:space="0"/>
      </w:pBdr>
    </w:pPr>
    <w:rPr>
      <w:rFonts w:ascii="Arial" w:hAnsi="Arial" w:eastAsia="Arial" w:cs="Arial"/>
      <w:b w:val="0"/>
      <w:color w:val="243943"/>
      <w:sz w:val="24"/>
    </w:rPr>
  </w:style>
  <w:style w:type="paragraph" w:customStyle="1" w:styleId="Callout">
    <w:name w:val="Callout"/>
    <w:pPr>
      <w:widowControl/>
      <w:spacing w:before="140" w:after="180" w:line="264" w:lineRule="auto"/>
      <w:shd w:val="clear" w:fill="EDF5F0"/>
      <w:pBdr>
        <w:left w:val="single" w:sz="20" w:color="28675C" w:space="7"/>
      </w:pBdr>
      <w:ind w:left="136" w:right="91"/>
    </w:pPr>
    <w:rPr>
      <w:rFonts w:ascii="Arial" w:hAnsi="Arial" w:eastAsia="Arial" w:cs="Arial"/>
      <w:b w:val="0"/>
      <w:color w:val="243943"/>
      <w:sz w:val="23"/>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lever positions, one load - GROW_Science_Autumn1_W4B_Lever_Test - Pupil</dc:title>
  <dc:subject>Autumn 1 · Week 4 · Lesson B</dc:subject>
  <dc:creator>Made by Matt</dc:creator>
  <cp:keywords>GROW, Science, Two lever positions, one load, Autumn 1, Week 4, Lesson B</cp:keywords>
  <dc:description>generated by python-docx</dc:description>
  <cp:lastModifiedBy/>
  <cp:revision>1</cp:revision>
  <dcterms:created xsi:type="dcterms:W3CDTF">2013-12-23T23:15:00Z</dcterms:created>
  <dcterms:modified xsi:type="dcterms:W3CDTF">2013-12-23T23:15:00Z</dcterms:modified>
  <cp:category/>
</cp:coreProperties>
</file>