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icker"/>
        <w:pBdr>
          <w:left w:val="single" w:sz="20" w:color="28685E" w:space="7"/>
        </w:pBdr>
        <w:ind w:left="140"/>
      </w:pPr>
      <w:r>
        <w:rPr>
          <w:rFonts w:ascii="Arial" w:hAnsi="Arial"/>
        </w:rPr>
        <w:t>PUPIL WORKSHEET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Backbone evidence lab</w:t>
      </w:r>
    </w:p>
    <w:p>
      <w:pPr>
        <w:pStyle w:val="Subtitle"/>
      </w:pPr>
      <w:r>
        <w:rPr>
          <w:rFonts w:ascii="Arial" w:hAnsi="Arial"/>
          <w:i w:val="0"/>
          <w:sz w:val="22"/>
        </w:rPr>
        <w:t>Autumn 1 · Week 3 · Lesson B</w:t>
      </w:r>
    </w:p>
    <w:p>
      <w:r>
        <w:rPr>
          <w:rFonts w:ascii="Arial" w:hAnsi="Arial"/>
        </w:rPr>
        <w:t>Name: ____________________________    Date: __________________</w:t>
      </w:r>
    </w:p>
    <w:p>
      <w:pPr>
        <w:pStyle w:val="Callout"/>
        <w:shd w:fill="F1F5F0" w:val="clear"/>
        <w:pBdr>
          <w:left w:val="single" w:sz="20" w:space="8" w:color="28685E"/>
        </w:pBdr>
        <w:ind w:left="140" w:right="60"/>
      </w:pPr>
      <w:r>
        <w:rPr>
          <w:rFonts w:ascii="Arial" w:hAnsi="Arial"/>
        </w:rPr>
        <w:t>Use body clues to classify animals, test a first idea and construct a diagnostic clue card.</w:t>
      </w:r>
    </w:p>
    <w:p>
      <w:r>
        <w:rPr>
          <w:rFonts w:ascii="Arial" w:hAnsi="Arial"/>
        </w:rPr>
        <w:t>Use this sheet with the lesson. You may point, sign, speak, draw, write, dictate or direct an adult. Keep your first idea so you can show what changed.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1. Predict, reveal, classify</w:t>
      </w:r>
    </w:p>
    <w:p>
      <w:r>
        <w:rPr>
          <w:rFonts w:ascii="Arial" w:hAnsi="Arial"/>
        </w:rPr>
        <w:t>Cover the evidence column first. Make a first choice or write unsure. Then reveal or hear the evidence.</w:t>
      </w:r>
    </w:p>
    <w:tbl>
      <w:tblPr>
        <w:jc w:val="left"/>
        <w:tblLayout w:type="fixed"/>
        <w:tblLook w:firstColumn="1" w:firstRow="1" w:lastColumn="0" w:lastRow="0" w:noHBand="0" w:noVBand="1" w:val="04A0"/>
        <w:tblW w:w="9866" w:type="dxa"/>
        <w:tblInd w:w="120" w:type="dxa"/>
        <w:tblCellMar>
          <w:top w:w="95" w:type="dxa"/>
          <w:left w:w="120" w:type="dxa"/>
          <w:bottom w:w="95" w:type="dxa"/>
          <w:right w:w="120" w:type="dxa"/>
        </w:tblCellMar>
        <w:tblBorders>
          <w:top w:val="single" w:sz="4" w:color="9DB9AC"/>
          <w:left w:val="single" w:sz="4" w:color="9DB9AC"/>
          <w:bottom w:val="single" w:sz="4" w:color="9DB9AC"/>
          <w:right w:val="single" w:sz="4" w:color="9DB9AC"/>
          <w:insideH w:val="single" w:sz="4" w:color="9DB9AC"/>
          <w:insideV w:val="single" w:sz="4" w:color="9DB9AC"/>
        </w:tblBorders>
      </w:tblPr>
      <w:tblGrid>
        <w:gridCol w:w="1793"/>
        <w:gridCol w:w="5022"/>
        <w:gridCol w:w="3051"/>
      </w:tblGrid>
      <w:tr>
        <w:trPr>
          <w:cantSplit/>
          <w:tblHeader/>
        </w:trPr>
        <w:tc>
          <w:tcPr>
            <w:vAlign w:val="center"/>
            <w:tcW w:w="1793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Case</w:t>
            </w:r>
          </w:p>
        </w:tc>
        <w:tc>
          <w:tcPr>
            <w:vAlign w:val="center"/>
            <w:tcW w:w="5022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Body evidence</w:t>
            </w:r>
          </w:p>
        </w:tc>
        <w:tc>
          <w:tcPr>
            <w:vAlign w:val="center"/>
            <w:tcW w:w="3051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First / final group</w:t>
            </w:r>
          </w:p>
        </w:tc>
      </w:tr>
      <w:tr>
        <w:trPr>
          <w:cantSplit/>
          <w:trHeight w:val="567"/>
        </w:trPr>
        <w:tc>
          <w:tcPr>
            <w:vAlign w:val="center"/>
            <w:tcW w:w="1793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Goldfish</w:t>
            </w:r>
          </w:p>
        </w:tc>
        <w:tc>
          <w:tcPr>
            <w:vAlign w:val="center"/>
            <w:tcW w:w="5022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Internal bones include a backbone.</w:t>
            </w:r>
          </w:p>
        </w:tc>
        <w:tc>
          <w:tcPr>
            <w:vAlign w:val="center"/>
            <w:tcW w:w="3051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</w:r>
          </w:p>
        </w:tc>
      </w:tr>
      <w:tr>
        <w:trPr>
          <w:cantSplit/>
          <w:trHeight w:val="567"/>
        </w:trPr>
        <w:tc>
          <w:tcPr>
            <w:vAlign w:val="center"/>
            <w:tcW w:w="1793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Bat</w:t>
            </w:r>
          </w:p>
        </w:tc>
        <w:tc>
          <w:tcPr>
            <w:vAlign w:val="center"/>
            <w:tcW w:w="5022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Has wings and an internal backbone.</w:t>
            </w:r>
          </w:p>
        </w:tc>
        <w:tc>
          <w:tcPr>
            <w:vAlign w:val="center"/>
            <w:tcW w:w="3051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</w:r>
          </w:p>
        </w:tc>
      </w:tr>
      <w:tr>
        <w:trPr>
          <w:cantSplit/>
          <w:trHeight w:val="567"/>
        </w:trPr>
        <w:tc>
          <w:tcPr>
            <w:vAlign w:val="center"/>
            <w:tcW w:w="1793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Beetle</w:t>
            </w:r>
          </w:p>
        </w:tc>
        <w:tc>
          <w:tcPr>
            <w:vAlign w:val="center"/>
            <w:tcW w:w="5022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Hard outer case; no backbone.</w:t>
            </w:r>
          </w:p>
        </w:tc>
        <w:tc>
          <w:tcPr>
            <w:vAlign w:val="center"/>
            <w:tcW w:w="3051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</w:r>
          </w:p>
        </w:tc>
      </w:tr>
      <w:tr>
        <w:trPr>
          <w:cantSplit/>
          <w:trHeight w:val="567"/>
        </w:trPr>
        <w:tc>
          <w:tcPr>
            <w:vAlign w:val="center"/>
            <w:tcW w:w="1793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Earthworm</w:t>
            </w:r>
          </w:p>
        </w:tc>
        <w:tc>
          <w:tcPr>
            <w:vAlign w:val="center"/>
            <w:tcW w:w="5022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Muscles/fluid support; skin rings are not bones.</w:t>
            </w:r>
          </w:p>
        </w:tc>
        <w:tc>
          <w:tcPr>
            <w:vAlign w:val="center"/>
            <w:tcW w:w="3051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</w:r>
          </w:p>
        </w:tc>
      </w:tr>
    </w:tbl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Kicker"/>
        <w:pageBreakBefore/>
        <w:pBdr>
          <w:left w:val="single" w:sz="20" w:color="28685E" w:space="7"/>
        </w:pBdr>
        <w:ind w:left="140"/>
      </w:pPr>
      <w:r>
        <w:rPr>
          <w:rFonts w:ascii="Arial" w:hAnsi="Arial"/>
        </w:rPr>
        <w:t>PUPIL TASK / Autumn 1 · Week 3 · Lesson B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2. Make and test a mystery card</w:t>
      </w:r>
    </w:p>
    <w:p>
      <w:pPr>
        <w:pStyle w:val="Subtitle"/>
      </w:pPr>
      <w:r>
        <w:rPr>
          <w:rFonts w:ascii="Arial" w:hAnsi="Arial"/>
          <w:i w:val="0"/>
          <w:sz w:val="22"/>
        </w:rPr>
        <w:t>Write, draw, point or dictate as agreed with your teacher.</w:t>
      </w:r>
    </w:p>
    <w:p>
      <w:r>
        <w:rPr>
          <w:rFonts w:ascii="Arial" w:hAnsi="Arial"/>
        </w:rPr>
        <w:t>Choose fish, bird, frog, lizard, mouse, snail, crab or earthworm. Hide the name when testing the clues.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My hidden animal: ___.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Body clue 1: ___.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Body clue 2: ___.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The solver’s group and reason: ___.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Kicker"/>
        <w:pageBreakBefore/>
        <w:pBdr>
          <w:left w:val="single" w:sz="20" w:color="28685E" w:space="7"/>
        </w:pBdr>
        <w:ind w:left="140"/>
      </w:pPr>
      <w:r>
        <w:rPr>
          <w:rFonts w:ascii="Arial" w:hAnsi="Arial"/>
        </w:rPr>
        <w:t>PUPIL TASK / Autumn 1 · Week 3 · Lesson B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3. Improve your evidence</w:t>
      </w:r>
    </w:p>
    <w:p>
      <w:pPr>
        <w:pStyle w:val="Subtitle"/>
      </w:pPr>
      <w:r>
        <w:rPr>
          <w:rFonts w:ascii="Arial" w:hAnsi="Arial"/>
          <w:i w:val="0"/>
          <w:sz w:val="22"/>
        </w:rPr>
        <w:t>Write, draw, point or dictate as agreed with your teacher.</w:t>
      </w:r>
    </w:p>
    <w:p>
      <w:r>
        <w:rPr>
          <w:rFonts w:ascii="Arial" w:hAnsi="Arial"/>
        </w:rPr>
        <w:t>Check one body clue. Replace a vague clue with something that helps decide the group.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My first clue: ___.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My clearer clue: ___.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It helps because ___.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I kept / changed my classification because ___.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Kicker"/>
        <w:pageBreakBefore/>
        <w:pBdr>
          <w:left w:val="single" w:sz="20" w:color="28685E" w:space="7"/>
        </w:pBdr>
        <w:ind w:left="140"/>
      </w:pPr>
      <w:r>
        <w:rPr>
          <w:rFonts w:ascii="Arial" w:hAnsi="Arial"/>
        </w:rPr>
        <w:t>PUPIL TASK / Autumn 1 · Week 3 · Lesson B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4. Feedback and exit</w:t>
      </w:r>
    </w:p>
    <w:p>
      <w:pPr>
        <w:pStyle w:val="Subtitle"/>
      </w:pPr>
      <w:r>
        <w:rPr>
          <w:rFonts w:ascii="Arial" w:hAnsi="Arial"/>
          <w:i w:val="0"/>
          <w:sz w:val="22"/>
        </w:rPr>
        <w:t>Write, draw, point or dictate as agreed with your teacher.</w:t>
      </w:r>
    </w:p>
    <w:p>
      <w:r>
        <w:rPr>
          <w:rFonts w:ascii="Arial" w:hAnsi="Arial"/>
        </w:rPr>
        <w:t>Tell the adult one thing that helped, or pass privately. Choose one science question.</w:t>
      </w:r>
    </w:p>
    <w:p>
      <w:pPr>
        <w:numPr>
          <w:ilvl w:val="0"/>
          <w:numId w:val="12"/>
        </w:numPr>
      </w:pPr>
      <w:r>
        <w:rPr>
          <w:rFonts w:ascii="Arial" w:hAnsi="Arial"/>
        </w:rPr>
        <w:t>Supported: name an animal with a backbone.</w:t>
      </w:r>
    </w:p>
    <w:p>
      <w:pPr>
        <w:numPr>
          <w:ilvl w:val="0"/>
          <w:numId w:val="12"/>
        </w:numPr>
      </w:pPr>
      <w:r>
        <w:rPr>
          <w:rFonts w:ascii="Arial" w:hAnsi="Arial"/>
        </w:rPr>
        <w:t>Standard: explain why a crab is an invertebrate.</w:t>
      </w:r>
    </w:p>
    <w:p>
      <w:pPr>
        <w:numPr>
          <w:ilvl w:val="0"/>
          <w:numId w:val="12"/>
        </w:numPr>
      </w:pPr>
      <w:r>
        <w:rPr>
          <w:rFonts w:ascii="Arial" w:hAnsi="Arial"/>
        </w:rPr>
        <w:t>Stretch: explain why size is not a reliable test.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Choose a response route</w:t>
      </w:r>
    </w:p>
    <w:p>
      <w:pPr>
        <w:pStyle w:val="Small"/>
      </w:pPr>
      <w:r>
        <w:rPr>
          <w:rFonts w:ascii="Arial" w:hAnsi="Arial"/>
        </w:rPr>
        <w:t>Agree one route with your teacher; you do not need every route.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Supported</w:t>
      </w:r>
    </w:p>
    <w:p>
      <w:r>
        <w:rPr>
          <w:rFonts w:ascii="Arial" w:hAnsi="Arial"/>
        </w:rPr>
        <w:t>Use an adult reader and two group labels; point to one decisive body clue.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Standard</w:t>
      </w:r>
    </w:p>
    <w:p>
      <w:r>
        <w:rPr>
          <w:rFonts w:ascii="Arial" w:hAnsi="Arial"/>
        </w:rPr>
        <w:t>Classify all four cases, explain a choice and make a two-clue card.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Stretch</w:t>
      </w:r>
    </w:p>
    <w:p>
      <w:r>
        <w:rPr>
          <w:rFonts w:ascii="Arial" w:hAnsi="Arial"/>
        </w:rPr>
        <w:t>Test and improve a clue so appearance cannot mislead the solver.</w:t>
      </w:r>
    </w:p>
    <w:p>
      <w:pPr>
        <w:pStyle w:val="Callout"/>
        <w:shd w:fill="F1F5F0" w:val="clear"/>
        <w:pBdr>
          <w:left w:val="single" w:sz="20" w:space="8" w:color="28685E"/>
        </w:pBdr>
        <w:ind w:left="140" w:right="60"/>
      </w:pPr>
      <w:r>
        <w:rPr>
          <w:rFonts w:ascii="Arial" w:hAnsi="Arial"/>
        </w:rPr>
        <w:t>Next: the current Week 4 lesson.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20" w:bottom="1020" w:left="1020" w:header="369" w:footer="36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</w:pPr>
    <w:r>
      <w:rPr>
        <w:rFonts w:ascii="Arial" w:hAnsi="Arial"/>
        <w:color w:val="54656C"/>
        <w:sz w:val="17"/>
      </w:rPr>
      <w:t xml:space="preserve">Autumn 1 · Week 3 · Lesson B  |  Pupil materials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Kicker"/>
      <w:pBdr>
        <w:bottom w:val="single" w:sz="8" w:color="DCE7DD" w:space="5"/>
      </w:pBdr>
    </w:pPr>
    <w:r>
      <w:rPr>
        <w:rFonts w:ascii="Arial" w:hAnsi="Arial"/>
      </w:rPr>
      <w:drawing>
        <wp:inline xmlns:a="http://schemas.openxmlformats.org/drawingml/2006/main" xmlns:pic="http://schemas.openxmlformats.org/drawingml/2006/picture">
          <wp:extent cx="270000" cy="270000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approved-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0000" cy="270000"/>
                  </a:xfrm>
                  <a:prstGeom prst="rect"/>
                </pic:spPr>
              </pic:pic>
            </a:graphicData>
          </a:graphic>
        </wp:inline>
      </w:drawing>
    </w:r>
    <w:r>
      <w:rPr>
        <w:rFonts w:ascii="Arial" w:hAnsi="Arial"/>
      </w:rPr>
      <w:t xml:space="preserve">  MADE BY MATT  /  BUILD SCIENCE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0">
    <w:abstractNumId w:val="9"/>
  </w:num>
  <w:abstractNum w:abstractNumId="10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1">
    <w:abstractNumId w:val="10"/>
  </w:num>
  <w:abstractNum w:abstractNumId="11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before="0" w:after="120" w:line="257" w:lineRule="auto"/>
    </w:pPr>
    <w:rPr>
      <w:rFonts w:ascii="Arial" w:hAnsi="Arial" w:eastAsia="Arial" w:cs="Arial"/>
      <w:b w:val="0"/>
      <w:color w:val="152B3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200" w:after="120" w:line="254" w:lineRule="auto"/>
      <w:outlineLvl w:val="0"/>
    </w:pPr>
    <w:rPr>
      <w:rFonts w:ascii="Arial" w:hAnsi="Arial" w:eastAsia="Arial" w:cs="Arial"/>
      <w:b/>
      <w:bCs/>
      <w:color w:val="28685E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140" w:after="80" w:line="254" w:lineRule="auto"/>
      <w:outlineLvl w:val="1"/>
    </w:pPr>
    <w:rPr>
      <w:rFonts w:ascii="Arial" w:hAnsi="Arial" w:eastAsia="Arial" w:cs="Arial"/>
      <w:b/>
      <w:bCs/>
      <w:color w:val="152B3A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widowControl/>
      <w:spacing w:after="140" w:line="250" w:lineRule="auto" w:before="0"/>
      <w:contextualSpacing/>
    </w:pPr>
    <w:rPr>
      <w:rFonts w:ascii="Arial" w:hAnsi="Arial" w:eastAsia="Arial" w:cs="Arial"/>
      <w:b/>
      <w:color w:val="152B3A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widowControl/>
      <w:numPr>
        <w:ilvl w:val="1"/>
      </w:numPr>
      <w:spacing w:before="0" w:after="200" w:line="252" w:lineRule="auto"/>
    </w:pPr>
    <w:rPr>
      <w:rFonts w:ascii="Arial" w:hAnsi="Arial" w:eastAsia="Arial" w:cs="Arial"/>
      <w:b w:val="0"/>
      <w:i w:val="0"/>
      <w:iCs/>
      <w:color w:val="54656C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icker">
    <w:name w:val="Kicker"/>
    <w:pPr>
      <w:keepNext/>
      <w:widowControl/>
      <w:spacing w:before="0" w:after="140" w:line="250" w:lineRule="auto"/>
    </w:pPr>
    <w:rPr>
      <w:rFonts w:ascii="Arial" w:hAnsi="Arial" w:eastAsia="Arial" w:cs="Arial"/>
      <w:b/>
      <w:color w:val="28685E"/>
      <w:sz w:val="18"/>
    </w:rPr>
  </w:style>
  <w:style w:type="paragraph" w:customStyle="1" w:styleId="Small">
    <w:name w:val="Small"/>
    <w:pPr>
      <w:widowControl/>
      <w:spacing w:before="0" w:after="120" w:line="254" w:lineRule="auto"/>
    </w:pPr>
    <w:rPr>
      <w:rFonts w:ascii="Arial" w:hAnsi="Arial" w:eastAsia="Arial" w:cs="Arial"/>
      <w:b w:val="0"/>
      <w:color w:val="54656C"/>
      <w:sz w:val="18"/>
    </w:rPr>
  </w:style>
  <w:style w:type="paragraph" w:customStyle="1" w:styleId="ResponseLine">
    <w:name w:val="ResponseLine"/>
    <w:pPr>
      <w:widowControl/>
      <w:spacing w:before="0" w:after="0" w:line="480" w:lineRule="exact"/>
    </w:pPr>
    <w:rPr>
      <w:rFonts w:ascii="Arial" w:hAnsi="Arial" w:eastAsia="Arial" w:cs="Arial"/>
      <w:b w:val="0"/>
      <w:color w:val="152B3A"/>
      <w:sz w:val="24"/>
    </w:rPr>
  </w:style>
  <w:style w:type="paragraph" w:customStyle="1" w:styleId="Callout">
    <w:name w:val="Callout"/>
    <w:pPr>
      <w:widowControl/>
      <w:spacing w:before="120" w:after="180" w:line="254" w:lineRule="auto"/>
    </w:pPr>
    <w:rPr>
      <w:rFonts w:ascii="Arial" w:hAnsi="Arial" w:eastAsia="Arial" w:cs="Arial"/>
      <w:b w:val="0"/>
      <w:color w:val="152B3A"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Backbone evidence lab - BUILD_Science_Autumn1_W3B_Backbone_Evidence - Pupil</dc:title>
  <dc:subject>Autumn 1 · Week 3 · Lesson B</dc:subject>
  <dc:creator>Made by Matt</dc:creator>
  <cp:keywords>BUILD, Science, Backbone evidence lab, Autumn 1, Week 3, Lesson B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