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Bdr>
          <w:left w:val="single" w:sz="20" w:color="28685E" w:space="7"/>
        </w:pBdr>
        <w:ind w:left="140"/>
      </w:pPr>
      <w:r>
        <w:rPr>
          <w:rFonts w:ascii="Arial" w:hAnsi="Arial"/>
        </w:rPr>
        <w:t>MADE BY MATT / CLASSROOM GUIDE</w:t>
      </w:r>
    </w:p>
    <w:p>
      <w:pPr>
        <w:pStyle w:val="Title"/>
      </w:pPr>
      <w:r>
        <w:rPr>
          <w:rFonts w:ascii="Arial" w:hAnsi="Arial"/>
          <w:b/>
          <w:color w:val="152B3A"/>
          <w:sz w:val="48"/>
        </w:rPr>
        <w:t>BUILD Science teaching pack</w:t>
      </w:r>
    </w:p>
    <w:p>
      <w:pPr>
        <w:pStyle w:val="Subtitle"/>
      </w:pPr>
      <w:r>
        <w:rPr>
          <w:rFonts w:ascii="Arial" w:hAnsi="Arial"/>
          <w:i w:val="0"/>
          <w:sz w:val="22"/>
        </w:rPr>
        <w:t>Autumn 1 · Weeks 3-7 · 10 separate 40-minute lessons</w:t>
      </w:r>
    </w:p>
    <w:p>
      <w:pPr>
        <w:pStyle w:val="Callout"/>
        <w:shd w:fill="F1F5F0" w:val="clear"/>
        <w:pBdr>
          <w:left w:val="single" w:sz="20" w:space="8" w:color="28685E"/>
        </w:pBdr>
        <w:ind w:left="140" w:right="60"/>
      </w:pPr>
      <w:r>
        <w:rPr>
          <w:rFonts w:ascii="Arial" w:hAnsi="Arial"/>
        </w:rPr>
        <w:t>Teach Lesson A on Monday 11:00-11:40. Keep the work and teach Lesson B on Wednesday 10:10-10:50. Each week contains two lessons, not one long session.</w:t>
      </w:r>
    </w:p>
    <w:p>
      <w:pPr>
        <w:pStyle w:val="Heading1"/>
        <w:pBdr>
          <w:bottom w:val="single" w:sz="6" w:color="DCE7DD" w:space="4"/>
        </w:pBdr>
      </w:pPr>
      <w:r>
        <w:rPr>
          <w:rFonts w:ascii="Arial" w:hAnsi="Arial"/>
        </w:rPr>
        <w:t>What is included</w:t>
      </w:r>
    </w:p>
    <w:p>
      <w:r>
        <w:rPr>
          <w:rFonts w:ascii="Arial" w:hAnsi="Arial"/>
        </w:rPr>
        <w:t>Each lesson has an editable teaching PowerPoint, a slide PDF, an editable pupil worksheet with a print PDF, and separate editable teacher guidance and answers with a print PDF. The original website lesson remains another teaching option.</w:t>
      </w:r>
    </w:p>
    <w:p>
      <w:r>
        <w:rPr>
          <w:rFonts w:ascii="Arial" w:hAnsi="Arial"/>
        </w:rPr>
        <w:t>Weekly Cards and Labels files supply the movable animal, muscle, food and food-chain resources used in the tasks. Print only the sets needed; pupils can point to cards instead of cutting. These files are also included in each individual lesson archive.</w:t>
      </w:r>
    </w:p>
    <w:p>
      <w:r>
        <w:rPr>
          <w:rFonts w:ascii="Arial" w:hAnsi="Arial"/>
        </w:rPr>
        <w:t>Open the PowerPoint in presentation mode for class use. Give pupils only the files marked Pupil. Use the Teacher files for preparation, answers and support. Slides and worksheets can be edited locally; the PDF versions provide a stable print and presentation alternative.</w:t>
      </w:r>
    </w:p>
    <w:p>
      <w:pPr>
        <w:pStyle w:val="Heading1"/>
        <w:pBdr>
          <w:bottom w:val="single" w:sz="6" w:color="DCE7DD" w:space="4"/>
        </w:pBdr>
      </w:pPr>
      <w:r>
        <w:rPr>
          <w:rFonts w:ascii="Arial" w:hAnsi="Arial"/>
        </w:rPr>
        <w:t>Confirmed teaching sequence</w:t>
      </w:r>
    </w:p>
    <w:tbl>
      <w:tblPr>
        <w:jc w:val="left"/>
        <w:tblLayout w:type="fixed"/>
        <w:tblLook w:firstColumn="1" w:firstRow="1" w:lastColumn="0" w:lastRow="0" w:noHBand="0" w:noVBand="1" w:val="04A0"/>
        <w:tblW w:w="9866" w:type="dxa"/>
        <w:tblInd w:w="120" w:type="dxa"/>
        <w:tblCellMar>
          <w:top w:w="95" w:type="dxa"/>
          <w:left w:w="120" w:type="dxa"/>
          <w:bottom w:w="95" w:type="dxa"/>
          <w:right w:w="120" w:type="dxa"/>
        </w:tblCellMar>
        <w:tblBorders>
          <w:top w:val="single" w:sz="4" w:color="9DB9AC"/>
          <w:left w:val="single" w:sz="4" w:color="9DB9AC"/>
          <w:bottom w:val="single" w:sz="4" w:color="9DB9AC"/>
          <w:right w:val="single" w:sz="4" w:color="9DB9AC"/>
          <w:insideH w:val="single" w:sz="4" w:color="9DB9AC"/>
          <w:insideV w:val="single" w:sz="4" w:color="9DB9AC"/>
        </w:tblBorders>
      </w:tblPr>
      <w:tblGrid>
        <w:gridCol w:w="1183"/>
        <w:gridCol w:w="4341"/>
        <w:gridCol w:w="4342"/>
      </w:tblGrid>
      <w:tr>
        <w:trPr>
          <w:cantSplit/>
          <w:tblHeader/>
        </w:trPr>
        <w:tc>
          <w:tcPr>
            <w:vAlign w:val="center"/>
            <w:tcW w:w="1183" w:type="dxa"/>
            <w:shd w:fill="28685E" w:val="clear"/>
          </w:tcPr>
          <w:p>
            <w:pPr>
              <w:spacing w:after="20" w:before="20" w:line="250" w:lineRule="auto"/>
            </w:pPr>
            <w:r>
              <w:rPr>
                <w:rFonts w:ascii="Arial" w:hAnsi="Arial"/>
                <w:b/>
                <w:color w:val="FFFFFF"/>
                <w:sz w:val="21"/>
              </w:rPr>
              <w:t>Week</w:t>
            </w:r>
          </w:p>
        </w:tc>
        <w:tc>
          <w:tcPr>
            <w:vAlign w:val="center"/>
            <w:tcW w:w="4341" w:type="dxa"/>
            <w:shd w:fill="28685E" w:val="clear"/>
          </w:tcPr>
          <w:p>
            <w:pPr>
              <w:spacing w:after="20" w:before="20" w:line="250" w:lineRule="auto"/>
            </w:pPr>
            <w:r>
              <w:rPr>
                <w:rFonts w:ascii="Arial" w:hAnsi="Arial"/>
                <w:b/>
                <w:color w:val="FFFFFF"/>
                <w:sz w:val="21"/>
              </w:rPr>
              <w:t>Monday · Lesson A</w:t>
            </w:r>
          </w:p>
        </w:tc>
        <w:tc>
          <w:tcPr>
            <w:vAlign w:val="center"/>
            <w:tcW w:w="4342" w:type="dxa"/>
            <w:shd w:fill="28685E" w:val="clear"/>
          </w:tcPr>
          <w:p>
            <w:pPr>
              <w:spacing w:after="20" w:before="20" w:line="250" w:lineRule="auto"/>
            </w:pPr>
            <w:r>
              <w:rPr>
                <w:rFonts w:ascii="Arial" w:hAnsi="Arial"/>
                <w:b/>
                <w:color w:val="FFFFFF"/>
                <w:sz w:val="21"/>
              </w:rPr>
              <w:t>Wednesday · Lesson B</w:t>
            </w:r>
          </w:p>
        </w:tc>
      </w:tr>
      <w:tr>
        <w:trPr>
          <w:cantSplit/>
        </w:trPr>
        <w:tc>
          <w:tcPr>
            <w:vAlign w:val="center"/>
            <w:tcW w:w="1183" w:type="dxa"/>
            <w:shd w:fill="F1F5F0" w:val="clear"/>
          </w:tcPr>
          <w:p>
            <w:pPr>
              <w:spacing w:after="20" w:before="20" w:line="250" w:lineRule="auto"/>
            </w:pPr>
            <w:r>
              <w:rPr>
                <w:rFonts w:ascii="Arial" w:hAnsi="Arial"/>
                <w:color w:val="152B3A"/>
                <w:sz w:val="21"/>
              </w:rPr>
              <w:t>3</w:t>
            </w:r>
          </w:p>
        </w:tc>
        <w:tc>
          <w:tcPr>
            <w:vAlign w:val="center"/>
            <w:tcW w:w="4341" w:type="dxa"/>
            <w:shd w:fill="F1F5F0" w:val="clear"/>
          </w:tcPr>
          <w:p>
            <w:pPr>
              <w:spacing w:after="20" w:before="20" w:line="250" w:lineRule="auto"/>
            </w:pPr>
            <w:r>
              <w:rPr>
                <w:rFonts w:ascii="Arial" w:hAnsi="Arial"/>
                <w:color w:val="152B3A"/>
                <w:sz w:val="21"/>
              </w:rPr>
              <w:t>Backbones and no backbones</w:t>
            </w:r>
          </w:p>
        </w:tc>
        <w:tc>
          <w:tcPr>
            <w:vAlign w:val="center"/>
            <w:tcW w:w="4342" w:type="dxa"/>
            <w:shd w:fill="F1F5F0" w:val="clear"/>
          </w:tcPr>
          <w:p>
            <w:pPr>
              <w:spacing w:after="20" w:before="20" w:line="250" w:lineRule="auto"/>
            </w:pPr>
            <w:r>
              <w:rPr>
                <w:rFonts w:ascii="Arial" w:hAnsi="Arial"/>
                <w:color w:val="152B3A"/>
                <w:sz w:val="21"/>
              </w:rPr>
              <w:t>Backbone evidence lab</w:t>
            </w:r>
          </w:p>
        </w:tc>
      </w:tr>
      <w:tr>
        <w:trPr>
          <w:cantSplit/>
        </w:trPr>
        <w:tc>
          <w:tcPr>
            <w:vAlign w:val="center"/>
            <w:tcW w:w="1183" w:type="dxa"/>
            <w:shd w:fill="FFFFFF" w:val="clear"/>
          </w:tcPr>
          <w:p>
            <w:pPr>
              <w:spacing w:after="20" w:before="20" w:line="250" w:lineRule="auto"/>
            </w:pPr>
            <w:r>
              <w:rPr>
                <w:rFonts w:ascii="Arial" w:hAnsi="Arial"/>
                <w:color w:val="152B3A"/>
                <w:sz w:val="21"/>
              </w:rPr>
              <w:t>4</w:t>
            </w:r>
          </w:p>
        </w:tc>
        <w:tc>
          <w:tcPr>
            <w:vAlign w:val="center"/>
            <w:tcW w:w="4341" w:type="dxa"/>
            <w:shd w:fill="FFFFFF" w:val="clear"/>
          </w:tcPr>
          <w:p>
            <w:pPr>
              <w:spacing w:after="20" w:before="20" w:line="250" w:lineRule="auto"/>
            </w:pPr>
            <w:r>
              <w:rPr>
                <w:rFonts w:ascii="Arial" w:hAnsi="Arial"/>
                <w:color w:val="152B3A"/>
                <w:sz w:val="21"/>
              </w:rPr>
              <w:t>Muscles work in pairs</w:t>
            </w:r>
          </w:p>
        </w:tc>
        <w:tc>
          <w:tcPr>
            <w:vAlign w:val="center"/>
            <w:tcW w:w="4342" w:type="dxa"/>
            <w:shd w:fill="FFFFFF" w:val="clear"/>
          </w:tcPr>
          <w:p>
            <w:pPr>
              <w:spacing w:after="20" w:before="20" w:line="250" w:lineRule="auto"/>
            </w:pPr>
            <w:r>
              <w:rPr>
                <w:rFonts w:ascii="Arial" w:hAnsi="Arial"/>
                <w:color w:val="152B3A"/>
                <w:sz w:val="21"/>
              </w:rPr>
              <w:t>Build and test a muscle model</w:t>
            </w:r>
          </w:p>
        </w:tc>
      </w:tr>
      <w:tr>
        <w:trPr>
          <w:cantSplit/>
        </w:trPr>
        <w:tc>
          <w:tcPr>
            <w:vAlign w:val="center"/>
            <w:tcW w:w="1183" w:type="dxa"/>
            <w:shd w:fill="F1F5F0" w:val="clear"/>
          </w:tcPr>
          <w:p>
            <w:pPr>
              <w:spacing w:after="20" w:before="20" w:line="250" w:lineRule="auto"/>
            </w:pPr>
            <w:r>
              <w:rPr>
                <w:rFonts w:ascii="Arial" w:hAnsi="Arial"/>
                <w:color w:val="152B3A"/>
                <w:sz w:val="21"/>
              </w:rPr>
              <w:t>5</w:t>
            </w:r>
          </w:p>
        </w:tc>
        <w:tc>
          <w:tcPr>
            <w:vAlign w:val="center"/>
            <w:tcW w:w="4341" w:type="dxa"/>
            <w:shd w:fill="F1F5F0" w:val="clear"/>
          </w:tcPr>
          <w:p>
            <w:pPr>
              <w:spacing w:after="20" w:before="20" w:line="250" w:lineRule="auto"/>
            </w:pPr>
            <w:r>
              <w:rPr>
                <w:rFonts w:ascii="Arial" w:hAnsi="Arial"/>
                <w:color w:val="152B3A"/>
                <w:sz w:val="21"/>
              </w:rPr>
              <w:t>What a body needs</w:t>
            </w:r>
          </w:p>
        </w:tc>
        <w:tc>
          <w:tcPr>
            <w:vAlign w:val="center"/>
            <w:tcW w:w="4342" w:type="dxa"/>
            <w:shd w:fill="F1F5F0" w:val="clear"/>
          </w:tcPr>
          <w:p>
            <w:pPr>
              <w:spacing w:after="20" w:before="20" w:line="250" w:lineRule="auto"/>
            </w:pPr>
            <w:r>
              <w:rPr>
                <w:rFonts w:ascii="Arial" w:hAnsi="Arial"/>
                <w:color w:val="152B3A"/>
                <w:sz w:val="21"/>
              </w:rPr>
              <w:t>Food-jobs evidence mission</w:t>
            </w:r>
          </w:p>
        </w:tc>
      </w:tr>
      <w:tr>
        <w:trPr>
          <w:cantSplit/>
        </w:trPr>
        <w:tc>
          <w:tcPr>
            <w:vAlign w:val="center"/>
            <w:tcW w:w="1183" w:type="dxa"/>
            <w:shd w:fill="FFFFFF" w:val="clear"/>
          </w:tcPr>
          <w:p>
            <w:pPr>
              <w:spacing w:after="20" w:before="20" w:line="250" w:lineRule="auto"/>
            </w:pPr>
            <w:r>
              <w:rPr>
                <w:rFonts w:ascii="Arial" w:hAnsi="Arial"/>
                <w:color w:val="152B3A"/>
                <w:sz w:val="21"/>
              </w:rPr>
              <w:t>6</w:t>
            </w:r>
          </w:p>
        </w:tc>
        <w:tc>
          <w:tcPr>
            <w:vAlign w:val="center"/>
            <w:tcW w:w="4341" w:type="dxa"/>
            <w:shd w:fill="FFFFFF" w:val="clear"/>
          </w:tcPr>
          <w:p>
            <w:pPr>
              <w:spacing w:after="20" w:before="20" w:line="250" w:lineRule="auto"/>
            </w:pPr>
            <w:r>
              <w:rPr>
                <w:rFonts w:ascii="Arial" w:hAnsi="Arial"/>
                <w:color w:val="152B3A"/>
                <w:sz w:val="21"/>
              </w:rPr>
              <w:t>Building a balanced plate</w:t>
            </w:r>
          </w:p>
        </w:tc>
        <w:tc>
          <w:tcPr>
            <w:vAlign w:val="center"/>
            <w:tcW w:w="4342" w:type="dxa"/>
            <w:shd w:fill="FFFFFF" w:val="clear"/>
          </w:tcPr>
          <w:p>
            <w:pPr>
              <w:spacing w:after="20" w:before="20" w:line="250" w:lineRule="auto"/>
            </w:pPr>
            <w:r>
              <w:rPr>
                <w:rFonts w:ascii="Arial" w:hAnsi="Arial"/>
                <w:color w:val="152B3A"/>
                <w:sz w:val="21"/>
              </w:rPr>
              <w:t>Compare and revise model plates</w:t>
            </w:r>
          </w:p>
        </w:tc>
      </w:tr>
      <w:tr>
        <w:trPr>
          <w:cantSplit/>
        </w:trPr>
        <w:tc>
          <w:tcPr>
            <w:vAlign w:val="center"/>
            <w:tcW w:w="1183" w:type="dxa"/>
            <w:shd w:fill="F1F5F0" w:val="clear"/>
          </w:tcPr>
          <w:p>
            <w:pPr>
              <w:spacing w:after="20" w:before="20" w:line="250" w:lineRule="auto"/>
            </w:pPr>
            <w:r>
              <w:rPr>
                <w:rFonts w:ascii="Arial" w:hAnsi="Arial"/>
                <w:color w:val="152B3A"/>
                <w:sz w:val="21"/>
              </w:rPr>
              <w:t>7</w:t>
            </w:r>
          </w:p>
        </w:tc>
        <w:tc>
          <w:tcPr>
            <w:vAlign w:val="center"/>
            <w:tcW w:w="4341" w:type="dxa"/>
            <w:shd w:fill="F1F5F0" w:val="clear"/>
          </w:tcPr>
          <w:p>
            <w:pPr>
              <w:spacing w:after="20" w:before="20" w:line="250" w:lineRule="auto"/>
            </w:pPr>
            <w:r>
              <w:rPr>
                <w:rFonts w:ascii="Arial" w:hAnsi="Arial"/>
                <w:color w:val="152B3A"/>
                <w:sz w:val="21"/>
              </w:rPr>
              <w:t>Animals get food by eating</w:t>
            </w:r>
          </w:p>
        </w:tc>
        <w:tc>
          <w:tcPr>
            <w:vAlign w:val="center"/>
            <w:tcW w:w="4342" w:type="dxa"/>
            <w:shd w:fill="F1F5F0" w:val="clear"/>
          </w:tcPr>
          <w:p>
            <w:pPr>
              <w:spacing w:after="20" w:before="20" w:line="250" w:lineRule="auto"/>
            </w:pPr>
            <w:r>
              <w:rPr>
                <w:rFonts w:ascii="Arial" w:hAnsi="Arial"/>
                <w:color w:val="152B3A"/>
                <w:sz w:val="21"/>
              </w:rPr>
              <w:t>Food-chain change investigation</w:t>
            </w:r>
          </w:p>
        </w:tc>
      </w:tr>
    </w:tbl>
    <w:p>
      <w:pPr>
        <w:pStyle w:val="Heading1"/>
        <w:pBdr>
          <w:bottom w:val="single" w:sz="6" w:color="DCE7DD" w:space="4"/>
        </w:pBdr>
      </w:pPr>
      <w:r>
        <w:rPr>
          <w:rFonts w:ascii="Arial" w:hAnsi="Arial"/>
        </w:rPr>
        <w:t>Coverage is Weeks 3-7</w:t>
      </w:r>
    </w:p>
    <w:p>
      <w:r>
        <w:rPr>
          <w:rFonts w:ascii="Arial" w:hAnsi="Arial"/>
        </w:rPr>
        <w:t>This download covers ten current taught lessons. Weeks 1-2 baseline assessment and any Week 8 enrichment are outside this pack. Uploaded Food waste and Rocks blocks were reviewed as additional curriculum sources; they have not been substituted into these ten lessons.</w:t>
      </w:r>
    </w:p>
    <w:p>
      <w:pPr>
        <w:pStyle w:val="Kicker"/>
        <w:pageBreakBefore/>
        <w:pBdr>
          <w:left w:val="single" w:sz="20" w:color="28685E" w:space="7"/>
        </w:pBdr>
        <w:ind w:left="140"/>
      </w:pPr>
      <w:r>
        <w:rPr>
          <w:rFonts w:ascii="Arial" w:hAnsi="Arial"/>
        </w:rPr>
        <w:t>TEACHING ROUTINE</w:t>
      </w:r>
    </w:p>
    <w:p>
      <w:pPr>
        <w:pStyle w:val="Title"/>
      </w:pPr>
      <w:r>
        <w:rPr>
          <w:rFonts w:ascii="Arial" w:hAnsi="Arial"/>
          <w:b/>
          <w:color w:val="152B3A"/>
          <w:sz w:val="48"/>
        </w:rPr>
        <w:t>Prepare once; choose the response route</w:t>
      </w:r>
    </w:p>
    <w:p>
      <w:pPr>
        <w:pStyle w:val="Subtitle"/>
      </w:pPr>
      <w:r>
        <w:rPr>
          <w:rFonts w:ascii="Arial" w:hAnsi="Arial"/>
          <w:i w:val="0"/>
          <w:sz w:val="22"/>
        </w:rPr>
        <w:t>Use models and paper activities so the same science is available offline.</w:t>
      </w:r>
    </w:p>
    <w:p>
      <w:pPr>
        <w:pStyle w:val="Heading2"/>
      </w:pPr>
      <w:r>
        <w:rPr>
          <w:rFonts w:ascii="Arial" w:hAnsi="Arial"/>
          <w:color w:val="152B3A"/>
        </w:rPr>
        <w:t>Before Monday</w:t>
      </w:r>
    </w:p>
    <w:p>
      <w:r>
        <w:rPr>
          <w:rFonts w:ascii="Arial" w:hAnsi="Arial"/>
        </w:rPr>
        <w:t>Read the Teacher file and check its equipment and safety notes. Print the pupil pages needed for the chosen response route. Prepare cards before the lesson when cutting would slow or exclude pupils. Use the website alongside the editable files if helpful.</w:t>
      </w:r>
    </w:p>
    <w:p>
      <w:pPr>
        <w:pStyle w:val="Heading2"/>
      </w:pPr>
      <w:r>
        <w:rPr>
          <w:rFonts w:ascii="Arial" w:hAnsi="Arial"/>
          <w:color w:val="152B3A"/>
        </w:rPr>
        <w:t>At Monday's stop point</w:t>
      </w:r>
    </w:p>
    <w:p>
      <w:r>
        <w:rPr>
          <w:rFonts w:ascii="Arial" w:hAnsi="Arial"/>
        </w:rPr>
        <w:t>Label and keep the work. The slides deliberately end at the agreed source stop point. Do not count Wednesday's 32-minute workshop, 4-minute pupil feedback and 4-minute exit task as extra Monday work.</w:t>
      </w:r>
    </w:p>
    <w:p>
      <w:pPr>
        <w:pStyle w:val="Heading2"/>
      </w:pPr>
      <w:r>
        <w:rPr>
          <w:rFonts w:ascii="Arial" w:hAnsi="Arial"/>
          <w:color w:val="152B3A"/>
        </w:rPr>
        <w:t>Before Wednesday</w:t>
      </w:r>
    </w:p>
    <w:p>
      <w:r>
        <w:rPr>
          <w:rFonts w:ascii="Arial" w:hAnsi="Arial"/>
        </w:rPr>
        <w:t>Bring back the saved work. The first four minutes revisit the prior lesson; the remainder of the workshop allows investigation, a check, correction and clear-up. Keep pupil feedback and exit time within the 40-minute lesson.</w:t>
      </w:r>
    </w:p>
    <w:p>
      <w:pPr>
        <w:pStyle w:val="Heading2"/>
      </w:pPr>
      <w:r>
        <w:rPr>
          <w:rFonts w:ascii="Arial" w:hAnsi="Arial"/>
          <w:color w:val="152B3A"/>
        </w:rPr>
        <w:t>Ways to respond</w:t>
      </w:r>
    </w:p>
    <w:p>
      <w:r>
        <w:rPr>
          <w:rFonts w:ascii="Arial" w:hAnsi="Arial"/>
        </w:rPr>
        <w:t>Pointing, signing, moving labels, drawing, speaking, dictation and adult scribing can all show understanding. Record the support actually given. Pupils may pass or respond privately. Ask before displaying or sharing their work.</w:t>
      </w:r>
    </w:p>
    <w:p>
      <w:pPr>
        <w:pStyle w:val="Heading2"/>
      </w:pPr>
      <w:r>
        <w:rPr>
          <w:rFonts w:ascii="Arial" w:hAnsi="Arial"/>
          <w:color w:val="152B3A"/>
        </w:rPr>
        <w:t>Body and food sensitivity</w:t>
      </w:r>
    </w:p>
    <w:p>
      <w:r>
        <w:rPr>
          <w:rFonts w:ascii="Arial" w:hAnsi="Arial"/>
        </w:rPr>
        <w:t>Teach on supplied diagrams, paper models and imaginary food examples. Do not inspect pupils' bodies or meals, require food tasting or compare body size. Follow the lesson-specific safety guidance.</w:t>
      </w:r>
    </w:p>
    <w:p>
      <w:pPr>
        <w:pStyle w:val="Heading2"/>
      </w:pPr>
      <w:r>
        <w:rPr>
          <w:rFonts w:ascii="Arial" w:hAnsi="Arial"/>
          <w:color w:val="152B3A"/>
        </w:rPr>
        <w:t>Offline teaching</w:t>
      </w:r>
    </w:p>
    <w:p>
      <w:r>
        <w:rPr>
          <w:rFonts w:ascii="Arial" w:hAnsi="Arial"/>
        </w:rPr>
        <w:t>No publisher videos or paid presentation files are needed. Each lesson supplies authored prompts and printable alternatives. Diagrams are simplified teaching models, not direct observations or measured results.</w:t>
      </w:r>
    </w:p>
    <w:p>
      <w:pPr>
        <w:pStyle w:val="Kicker"/>
        <w:pageBreakBefore/>
        <w:pBdr>
          <w:left w:val="single" w:sz="20" w:color="28685E" w:space="7"/>
        </w:pBdr>
        <w:ind w:left="140"/>
      </w:pPr>
      <w:r>
        <w:rPr>
          <w:rFonts w:ascii="Arial" w:hAnsi="Arial"/>
        </w:rPr>
        <w:t>SOURCE AND REVISION</w:t>
      </w:r>
    </w:p>
    <w:p>
      <w:pPr>
        <w:pStyle w:val="Title"/>
      </w:pPr>
      <w:r>
        <w:rPr>
          <w:rFonts w:ascii="Arial" w:hAnsi="Arial"/>
          <w:b/>
          <w:color w:val="152B3A"/>
          <w:sz w:val="48"/>
        </w:rPr>
        <w:t>Where the pack comes from</w:t>
      </w:r>
    </w:p>
    <w:p>
      <w:pPr>
        <w:pStyle w:val="Subtitle"/>
      </w:pPr>
      <w:r>
        <w:rPr>
          <w:rFonts w:ascii="Arial" w:hAnsi="Arial"/>
          <w:i w:val="0"/>
          <w:sz w:val="22"/>
        </w:rPr>
        <w:t>Revision: 6 September 2026</w:t>
      </w:r>
    </w:p>
    <w:p>
      <w:r>
        <w:rPr>
          <w:rFonts w:ascii="Arial" w:hAnsi="Arial"/>
        </w:rPr>
        <w:t>The current BUILD weekly pages on Made by Matt define the sequence and teaching timings. The uploaded White Rose Year 3 autumn blocks were used to cross-check topic coverage. These downloads contain original Made by Matt teaching text and native editable diagrams, not copies of White Rose slides or worksheets.</w:t>
      </w:r>
    </w:p>
    <w:p>
      <w:pPr>
        <w:pStyle w:val="Heading2"/>
      </w:pPr>
      <w:r>
        <w:rPr>
          <w:rFonts w:ascii="Arial" w:hAnsi="Arial"/>
          <w:color w:val="152B3A"/>
        </w:rPr>
        <w:t>Week 3</w:t>
      </w:r>
    </w:p>
    <w:p>
      <w:pPr>
        <w:pStyle w:val="Small"/>
      </w:pPr>
      <w:r>
        <w:rPr>
          <w:rFonts w:ascii="Arial" w:hAnsi="Arial"/>
        </w:rPr>
        <w:t>https://madebymatt.uk/Lessons/Science_Teesside/Build/SCI_B_W3_Backbones.html</w:t>
      </w:r>
    </w:p>
    <w:p>
      <w:pPr>
        <w:pStyle w:val="Heading2"/>
      </w:pPr>
      <w:r>
        <w:rPr>
          <w:rFonts w:ascii="Arial" w:hAnsi="Arial"/>
          <w:color w:val="152B3A"/>
        </w:rPr>
        <w:t>Week 4</w:t>
      </w:r>
    </w:p>
    <w:p>
      <w:pPr>
        <w:pStyle w:val="Small"/>
      </w:pPr>
      <w:r>
        <w:rPr>
          <w:rFonts w:ascii="Arial" w:hAnsi="Arial"/>
        </w:rPr>
        <w:t>https://madebymatt.uk/Lessons/Science_Teesside/Build/SCI_B_W4_Muscle_Pairs.html</w:t>
      </w:r>
    </w:p>
    <w:p>
      <w:pPr>
        <w:pStyle w:val="Heading2"/>
      </w:pPr>
      <w:r>
        <w:rPr>
          <w:rFonts w:ascii="Arial" w:hAnsi="Arial"/>
          <w:color w:val="152B3A"/>
        </w:rPr>
        <w:t>Week 5</w:t>
      </w:r>
    </w:p>
    <w:p>
      <w:pPr>
        <w:pStyle w:val="Small"/>
      </w:pPr>
      <w:r>
        <w:rPr>
          <w:rFonts w:ascii="Arial" w:hAnsi="Arial"/>
        </w:rPr>
        <w:t>https://madebymatt.uk/Lessons/Science_Teesside/Build/SCI_B_W5_Right_Nutrition.html</w:t>
      </w:r>
    </w:p>
    <w:p>
      <w:pPr>
        <w:pStyle w:val="Heading2"/>
      </w:pPr>
      <w:r>
        <w:rPr>
          <w:rFonts w:ascii="Arial" w:hAnsi="Arial"/>
          <w:color w:val="152B3A"/>
        </w:rPr>
        <w:t>Week 6</w:t>
      </w:r>
    </w:p>
    <w:p>
      <w:pPr>
        <w:pStyle w:val="Small"/>
      </w:pPr>
      <w:r>
        <w:rPr>
          <w:rFonts w:ascii="Arial" w:hAnsi="Arial"/>
        </w:rPr>
        <w:t>https://madebymatt.uk/Lessons/Science_Teesside/Build/SCI_B_W6_Balanced_Plate.html</w:t>
      </w:r>
    </w:p>
    <w:p>
      <w:pPr>
        <w:pStyle w:val="Heading2"/>
      </w:pPr>
      <w:r>
        <w:rPr>
          <w:rFonts w:ascii="Arial" w:hAnsi="Arial"/>
          <w:color w:val="152B3A"/>
        </w:rPr>
        <w:t>Week 7</w:t>
      </w:r>
    </w:p>
    <w:p>
      <w:pPr>
        <w:pStyle w:val="Small"/>
      </w:pPr>
      <w:r>
        <w:rPr>
          <w:rFonts w:ascii="Arial" w:hAnsi="Arial"/>
        </w:rPr>
        <w:t>https://madebymatt.uk/Lessons/Science_Teesside/Build/SCI_B_W7_Where_Food_Comes_From.html</w:t>
      </w:r>
    </w:p>
    <w:p>
      <w:pPr>
        <w:pStyle w:val="Heading1"/>
        <w:pBdr>
          <w:bottom w:val="single" w:sz="6" w:color="DCE7DD" w:space="4"/>
        </w:pBdr>
      </w:pPr>
      <w:r>
        <w:rPr>
          <w:rFonts w:ascii="Arial" w:hAnsi="Arial"/>
        </w:rPr>
        <w:t>Editing and printing</w:t>
      </w:r>
    </w:p>
    <w:p>
      <w:r>
        <w:rPr>
          <w:rFonts w:ascii="Arial" w:hAnsi="Arial"/>
        </w:rPr>
        <w:t>Editable structures and final page layouts were checked using native OOXML inspection and LibreOffice PDF rendering. Microsoft PowerPoint and Word application testing is not claimed. The source mapping records exact lesson versions and output hashes for future updates. The supplied Made by Matt logo is embedded unchanged.</w:t>
      </w:r>
    </w:p>
    <w:sectPr w:rsidR="00FC693F" w:rsidRPr="0006063C" w:rsidSect="00034616">
      <w:headerReference w:type="default" r:id="rId9"/>
      <w:footerReference w:type="default" r:id="rId10"/>
      <w:pgSz w:w="11906" w:h="16838"/>
      <w:pgMar w:top="1020" w:right="1020" w:bottom="1020" w:left="1020" w:header="369" w:footer="36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
    </w:pPr>
    <w:r>
      <w:rPr>
        <w:rFonts w:ascii="Arial" w:hAnsi="Arial"/>
        <w:color w:val="54656C"/>
        <w:sz w:val="17"/>
      </w:rPr>
      <w:t>BUILD Science · Autumn 1 · Weeks 3-7 · Teaching guide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Kicker"/>
      <w:pBdr>
        <w:bottom w:val="single" w:sz="8" w:color="DCE7DD" w:space="5"/>
      </w:pBdr>
    </w:pPr>
    <w:r>
      <w:rPr>
        <w:rFonts w:ascii="Arial" w:hAnsi="Arial"/>
      </w:rPr>
      <w:drawing>
        <wp:inline xmlns:a="http://schemas.openxmlformats.org/drawingml/2006/main" xmlns:pic="http://schemas.openxmlformats.org/drawingml/2006/picture">
          <wp:extent cx="270000" cy="270000"/>
          <wp:docPr id="1" name="Picture 1"/>
          <wp:cNvGraphicFramePr>
            <a:graphicFrameLocks noChangeAspect="1"/>
          </wp:cNvGraphicFramePr>
          <a:graphic>
            <a:graphicData uri="http://schemas.openxmlformats.org/drawingml/2006/picture">
              <pic:pic>
                <pic:nvPicPr>
                  <pic:cNvPr id="0" name="approved-logo.jpg"/>
                  <pic:cNvPicPr/>
                </pic:nvPicPr>
                <pic:blipFill>
                  <a:blip r:embed="rId1"/>
                  <a:stretch>
                    <a:fillRect/>
                  </a:stretch>
                </pic:blipFill>
                <pic:spPr>
                  <a:xfrm>
                    <a:off x="0" y="0"/>
                    <a:ext cx="270000" cy="270000"/>
                  </a:xfrm>
                  <a:prstGeom prst="rect"/>
                </pic:spPr>
              </pic:pic>
            </a:graphicData>
          </a:graphic>
        </wp:inline>
      </w:drawing>
    </w:r>
    <w:r>
      <w:rPr>
        <w:rFonts w:ascii="Arial" w:hAnsi="Arial"/>
      </w:rPr>
      <w:t xml:space="preserve">  MADE BY MATT  /  BUILD SCIENCE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20" w:line="257" w:lineRule="auto"/>
    </w:pPr>
    <w:rPr>
      <w:rFonts w:ascii="Arial" w:hAnsi="Arial" w:eastAsia="Arial" w:cs="Arial"/>
      <w:b w:val="0"/>
      <w:color w:val="152B3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widowControl/>
      <w:spacing w:before="200" w:after="120" w:line="254" w:lineRule="auto"/>
      <w:outlineLvl w:val="0"/>
    </w:pPr>
    <w:rPr>
      <w:rFonts w:ascii="Arial" w:hAnsi="Arial" w:eastAsia="Arial" w:cs="Arial"/>
      <w:b/>
      <w:bCs/>
      <w:color w:val="28685E"/>
      <w:sz w:val="30"/>
      <w:szCs w:val="28"/>
    </w:rPr>
  </w:style>
  <w:style w:type="paragraph" w:styleId="Heading2">
    <w:name w:val="heading 2"/>
    <w:basedOn w:val="Normal"/>
    <w:next w:val="Normal"/>
    <w:link w:val="Heading2Char"/>
    <w:uiPriority w:val="9"/>
    <w:unhideWhenUsed/>
    <w:qFormat/>
    <w:rsid w:val="00FC693F"/>
    <w:pPr>
      <w:keepNext/>
      <w:keepLines/>
      <w:widowControl/>
      <w:spacing w:before="140" w:after="80" w:line="254" w:lineRule="auto"/>
      <w:outlineLvl w:val="1"/>
    </w:pPr>
    <w:rPr>
      <w:rFonts w:ascii="Arial" w:hAnsi="Arial" w:eastAsia="Arial" w:cs="Arial"/>
      <w:b/>
      <w:bCs/>
      <w:color w:val="152B3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widowControl/>
      <w:spacing w:after="140" w:line="250" w:lineRule="auto" w:before="0"/>
      <w:contextualSpacing/>
    </w:pPr>
    <w:rPr>
      <w:rFonts w:ascii="Arial" w:hAnsi="Arial" w:eastAsia="Arial" w:cs="Arial"/>
      <w:b/>
      <w:color w:val="152B3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widowControl/>
      <w:numPr>
        <w:ilvl w:val="1"/>
      </w:numPr>
      <w:spacing w:before="0" w:after="200" w:line="252" w:lineRule="auto"/>
    </w:pPr>
    <w:rPr>
      <w:rFonts w:ascii="Arial" w:hAnsi="Arial" w:eastAsia="Arial" w:cs="Arial"/>
      <w:b w:val="0"/>
      <w:i w:val="0"/>
      <w:iCs/>
      <w:color w:val="54656C"/>
      <w:spacing w:val="15"/>
      <w:sz w:val="22"/>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icker">
    <w:name w:val="Kicker"/>
    <w:pPr>
      <w:keepNext/>
      <w:widowControl/>
      <w:spacing w:before="0" w:after="140" w:line="250" w:lineRule="auto"/>
    </w:pPr>
    <w:rPr>
      <w:rFonts w:ascii="Arial" w:hAnsi="Arial" w:eastAsia="Arial" w:cs="Arial"/>
      <w:b/>
      <w:color w:val="28685E"/>
      <w:sz w:val="18"/>
    </w:rPr>
  </w:style>
  <w:style w:type="paragraph" w:customStyle="1" w:styleId="Small">
    <w:name w:val="Small"/>
    <w:pPr>
      <w:widowControl/>
      <w:spacing w:before="0" w:after="120" w:line="254" w:lineRule="auto"/>
    </w:pPr>
    <w:rPr>
      <w:rFonts w:ascii="Arial" w:hAnsi="Arial" w:eastAsia="Arial" w:cs="Arial"/>
      <w:b w:val="0"/>
      <w:color w:val="54656C"/>
      <w:sz w:val="18"/>
    </w:rPr>
  </w:style>
  <w:style w:type="paragraph" w:customStyle="1" w:styleId="ResponseLine">
    <w:name w:val="ResponseLine"/>
    <w:pPr>
      <w:widowControl/>
      <w:spacing w:before="0" w:after="0" w:line="480" w:lineRule="exact"/>
    </w:pPr>
    <w:rPr>
      <w:rFonts w:ascii="Arial" w:hAnsi="Arial" w:eastAsia="Arial" w:cs="Arial"/>
      <w:b w:val="0"/>
      <w:color w:val="152B3A"/>
      <w:sz w:val="24"/>
    </w:rPr>
  </w:style>
  <w:style w:type="paragraph" w:customStyle="1" w:styleId="Callout">
    <w:name w:val="Callout"/>
    <w:pPr>
      <w:widowControl/>
      <w:spacing w:before="120" w:after="180" w:line="254" w:lineRule="auto"/>
    </w:pPr>
    <w:rPr>
      <w:rFonts w:ascii="Arial" w:hAnsi="Arial" w:eastAsia="Arial" w:cs="Arial"/>
      <w:b w:val="0"/>
      <w:color w:val="152B3A"/>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Science teaching pack</dc:title>
  <dc:subject>BUILD Science Autumn 1 Weeks 3-7 teaching guide</dc:subject>
  <dc:creator>Made by Matt</dc:creator>
  <cp:keywords>BUILD, Science, Autumn 1, Weeks 3-7</cp:keywords>
  <dc:description>generated by python-docx</dc:description>
  <cp:lastModifiedBy/>
  <cp:revision>1</cp:revision>
  <dcterms:created xsi:type="dcterms:W3CDTF">2013-12-23T23:15:00Z</dcterms:created>
  <dcterms:modified xsi:type="dcterms:W3CDTF">2013-12-23T23:15:00Z</dcterms:modified>
  <cp:category/>
</cp:coreProperties>
</file>