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100"/>
      </w:pPr>
      <w:r>
        <w:rPr>
          <w:rFonts w:ascii="Arial" w:hAnsi="Arial" w:eastAsia="Arial" w:cs="Arial"/>
          <w:b/>
          <w:color w:val="101C38"/>
          <w:sz w:val="48"/>
        </w:rPr>
        <w:t>Science teaching guide</w:t>
      </w:r>
    </w:p>
    <w:p>
      <w:pPr>
        <w:pStyle w:val="Subtitle"/>
        <w:widowControl/>
        <w:spacing w:after="240"/>
      </w:pPr>
      <w:r>
        <w:rPr>
          <w:rFonts w:ascii="Arial" w:hAnsi="Arial" w:eastAsia="Arial" w:cs="Arial"/>
          <w:i w:val="0"/>
          <w:color w:val="7A5C9E"/>
          <w:sz w:val="21"/>
        </w:rPr>
        <w:t>Weeks 3–7 | LAUNCH | How to run the Office pack</w:t>
      </w:r>
    </w:p>
    <w:p>
      <w:pPr>
        <w:widowControl/>
        <w:spacing w:after="100" w:line="269" w:lineRule="auto"/>
      </w:pPr>
      <w:r>
        <w:rPr>
          <w:rFonts w:ascii="Arial" w:hAnsi="Arial" w:eastAsia="Arial" w:cs="Arial"/>
          <w:color w:val="26324A"/>
          <w:sz w:val="21"/>
        </w:rPr>
        <w:t>Teach from the PowerPoints in the weekly folders. Their first eight stages form one 40-minute lesson. Answer boards, worksheet pages and video pages are resources reached through buttons; they are not extra lesson time.</w:t>
      </w:r>
    </w:p>
    <w:p>
      <w:pPr>
        <w:pStyle w:val="Heading2"/>
        <w:keepNext/>
        <w:widowControl/>
        <w:spacing w:before="160" w:after="100"/>
      </w:pPr>
      <w:r>
        <w:rPr>
          <w:rFonts w:ascii="Arial" w:hAnsi="Arial" w:eastAsia="Arial" w:cs="Arial"/>
          <w:b/>
          <w:color w:val="7A5C9E"/>
          <w:sz w:val="26"/>
        </w:rPr>
        <w:t>First lesson setup</w:t>
      </w:r>
    </w:p>
    <w:p>
      <w:pPr>
        <w:pStyle w:val="ListNumber"/>
        <w:widowControl/>
        <w:spacing w:after="100" w:line="269" w:lineRule="auto"/>
      </w:pPr>
      <w:r>
        <w:rPr>
          <w:rFonts w:ascii="Arial" w:hAnsi="Arial" w:eastAsia="Arial" w:cs="Arial"/>
          <w:color w:val="26324A"/>
          <w:sz w:val="21"/>
        </w:rPr>
        <w:t>Keep the whole extracted pack together, then upload or sync its folders to OneDrive.</w:t>
      </w:r>
    </w:p>
    <w:p>
      <w:pPr>
        <w:pStyle w:val="ListNumber"/>
        <w:widowControl/>
        <w:spacing w:after="100" w:line="269" w:lineRule="auto"/>
      </w:pPr>
      <w:r>
        <w:rPr>
          <w:rFonts w:ascii="Arial" w:hAnsi="Arial" w:eastAsia="Arial" w:cs="Arial"/>
          <w:color w:val="26324A"/>
          <w:sz w:val="21"/>
        </w:rPr>
        <w:t>Open the week’s plan and print the selected worksheet PDF. The standard worksheet is also available in Word.</w:t>
      </w:r>
    </w:p>
    <w:p>
      <w:pPr>
        <w:pStyle w:val="ListNumber"/>
        <w:widowControl/>
        <w:spacing w:after="100" w:line="269" w:lineRule="auto"/>
      </w:pPr>
      <w:r>
        <w:rPr>
          <w:rFonts w:ascii="Arial" w:hAnsi="Arial" w:eastAsia="Arial" w:cs="Arial"/>
          <w:color w:val="26324A"/>
          <w:sz w:val="21"/>
        </w:rPr>
        <w:t>Download or sync the PowerPoint before teaching, then use Slide Show mode. All diagram and worksheet images are stored inside the presentation.</w:t>
      </w:r>
    </w:p>
    <w:p>
      <w:pPr>
        <w:pStyle w:val="ListNumber"/>
        <w:widowControl/>
        <w:spacing w:after="100" w:line="269" w:lineRule="auto"/>
      </w:pPr>
      <w:r>
        <w:rPr>
          <w:rFonts w:ascii="Arial" w:hAnsi="Arial" w:eastAsia="Arial" w:cs="Arial"/>
          <w:color w:val="26324A"/>
          <w:sz w:val="21"/>
        </w:rPr>
        <w:t>Use Check / Reveal after an attempt, then Return to task. The sequence can also be followed using the stage buttons.</w:t>
      </w:r>
    </w:p>
    <w:p>
      <w:pPr>
        <w:pStyle w:val="ListNumber"/>
        <w:widowControl/>
        <w:spacing w:after="100" w:line="269" w:lineRule="auto"/>
      </w:pPr>
      <w:r>
        <w:rPr>
          <w:rFonts w:ascii="Arial" w:hAnsi="Arial" w:eastAsia="Arial" w:cs="Arial"/>
          <w:color w:val="26324A"/>
          <w:sz w:val="21"/>
        </w:rPr>
        <w:t>Online model and video buttons open the browser and need an internet connection. Relative file links work from the downloaded folder; OneDrive’s preview may not resolve them. Every worksheet is also pictured inside the PowerPoint, and the named files sit alongside it.</w:t>
      </w:r>
    </w:p>
    <w:p>
      <w:pPr>
        <w:pStyle w:val="ListNumber"/>
        <w:widowControl/>
        <w:spacing w:after="100" w:line="269" w:lineRule="auto"/>
      </w:pPr>
      <w:r>
        <w:rPr>
          <w:rFonts w:ascii="Arial" w:hAnsi="Arial" w:eastAsia="Arial" w:cs="Arial"/>
          <w:color w:val="26324A"/>
          <w:sz w:val="21"/>
        </w:rPr>
        <w:t>Use the paper activity and still diagram if the browser cannot open. PowerPoint contains no macros or required add-ins.</w:t>
      </w:r>
    </w:p>
    <w:p>
      <w:pPr>
        <w:pStyle w:val="Heading2"/>
        <w:keepNext/>
        <w:widowControl/>
        <w:spacing w:before="160" w:after="100"/>
      </w:pPr>
      <w:r>
        <w:rPr>
          <w:rFonts w:ascii="Arial" w:hAnsi="Arial" w:eastAsia="Arial" w:cs="Arial"/>
          <w:b/>
          <w:color w:val="7A5C9E"/>
          <w:sz w:val="26"/>
        </w:rPr>
        <w:t>Access and pupil voice</w:t>
      </w:r>
    </w:p>
    <w:p>
      <w:pPr>
        <w:widowControl/>
        <w:spacing w:after="100" w:line="269" w:lineRule="auto"/>
      </w:pPr>
      <w:r>
        <w:rPr>
          <w:rFonts w:ascii="Arial" w:hAnsi="Arial" w:eastAsia="Arial" w:cs="Arial"/>
          <w:color w:val="26324A"/>
          <w:sz w:val="21"/>
        </w:rPr>
        <w:t>Offer writing, speaking, pointing or the pupil’s own dictated words. Keep support optional. Ask what they want to revisit, listen, agree who will act and return to that request next lesson. Keep assessment scores and personal responses private.</w:t>
      </w:r>
    </w:p>
    <w:p>
      <w:pPr>
        <w:widowControl/>
        <w:spacing w:after="100" w:line="269" w:lineRule="auto"/>
      </w:pPr>
      <w:r>
        <w:rPr>
          <w:rFonts w:ascii="Arial" w:hAnsi="Arial" w:eastAsia="Arial" w:cs="Arial"/>
          <w:color w:val="26324A"/>
          <w:sz w:val="21"/>
        </w:rPr>
        <w:t>The pack teaches cells, microscopy and transport taught so far; it does not claim all of GCSE Topic 1 is complete. The full assessment is an original 24-mark classroom paper, not an official paper or a grade predictor.</w:t>
      </w:r>
    </w:p>
    <w:p>
      <w:pPr>
        <w:pStyle w:val="Title"/>
        <w:pageBreakBefore/>
        <w:widowControl/>
        <w:spacing w:after="100"/>
      </w:pPr>
      <w:r>
        <w:rPr>
          <w:rFonts w:ascii="Arial" w:hAnsi="Arial" w:eastAsia="Arial" w:cs="Arial"/>
          <w:b/>
          <w:color w:val="101C38"/>
          <w:sz w:val="48"/>
        </w:rPr>
        <w:t>Practical and media decisions</w:t>
      </w:r>
    </w:p>
    <w:p>
      <w:pPr>
        <w:pStyle w:val="Subtitle"/>
        <w:widowControl/>
        <w:spacing w:after="240"/>
      </w:pPr>
      <w:r>
        <w:rPr>
          <w:rFonts w:ascii="Arial" w:hAnsi="Arial" w:eastAsia="Arial" w:cs="Arial"/>
          <w:i w:val="0"/>
          <w:color w:val="7A5C9E"/>
          <w:sz w:val="21"/>
        </w:rPr>
        <w:t>Keep a record of the route actually used</w:t>
      </w:r>
    </w:p>
    <w:p>
      <w:pPr>
        <w:pStyle w:val="Heading2"/>
        <w:keepNext/>
        <w:widowControl/>
        <w:spacing w:before="160" w:after="100"/>
      </w:pPr>
      <w:r>
        <w:rPr>
          <w:rFonts w:ascii="Arial" w:hAnsi="Arial" w:eastAsia="Arial" w:cs="Arial"/>
          <w:b/>
          <w:color w:val="7A5C9E"/>
          <w:sz w:val="26"/>
        </w:rPr>
        <w:t>Week 3</w:t>
      </w:r>
    </w:p>
    <w:p>
      <w:pPr>
        <w:widowControl/>
        <w:spacing w:after="100" w:line="269" w:lineRule="auto"/>
      </w:pPr>
      <w:r>
        <w:rPr>
          <w:rFonts w:ascii="Arial" w:hAnsi="Arial" w:eastAsia="Arial" w:cs="Arial"/>
          <w:color w:val="26324A"/>
          <w:sz w:val="21"/>
        </w:rPr>
        <w:t>Microscopes and prepared slides are optional. Use them only with the approved handling procedure and suitable staffing. The diagram route supports observation and calculation; it does not show that a pupil has handled a microscope. Have calculators and rulers ready. Questions use stated lengths, so printer scaling does not affect the answers.</w:t>
      </w:r>
    </w:p>
    <w:p>
      <w:pPr>
        <w:pStyle w:val="Heading2"/>
        <w:keepNext/>
        <w:widowControl/>
        <w:spacing w:before="160" w:after="100"/>
      </w:pPr>
      <w:r>
        <w:rPr>
          <w:rFonts w:ascii="Arial" w:hAnsi="Arial" w:eastAsia="Arial" w:cs="Arial"/>
          <w:b/>
          <w:color w:val="7A5C9E"/>
          <w:sz w:val="26"/>
        </w:rPr>
        <w:t>Week 4</w:t>
      </w:r>
    </w:p>
    <w:p>
      <w:pPr>
        <w:widowControl/>
        <w:spacing w:after="100" w:line="269" w:lineRule="auto"/>
      </w:pPr>
      <w:r>
        <w:rPr>
          <w:rFonts w:ascii="Arial" w:hAnsi="Arial" w:eastAsia="Arial" w:cs="Arial"/>
          <w:color w:val="26324A"/>
          <w:sz w:val="21"/>
        </w:rPr>
        <w:t>Paper, counters, pens and calculators are enough. The datasets are illustrative. Use the alveolus drawing for gas exchange. An optional physical demonstration needs the setting’s approved procedure; dye spreading in warm water may include convection.</w:t>
      </w:r>
    </w:p>
    <w:p>
      <w:pPr>
        <w:pStyle w:val="Heading2"/>
        <w:keepNext/>
        <w:widowControl/>
        <w:spacing w:before="160" w:after="100"/>
      </w:pPr>
      <w:r>
        <w:rPr>
          <w:rFonts w:ascii="Arial" w:hAnsi="Arial" w:eastAsia="Arial" w:cs="Arial"/>
          <w:b/>
          <w:color w:val="7A5C9E"/>
          <w:sz w:val="26"/>
        </w:rPr>
        <w:t>Week 5</w:t>
      </w:r>
    </w:p>
    <w:p>
      <w:pPr>
        <w:widowControl/>
        <w:spacing w:after="100" w:line="269" w:lineRule="auto"/>
      </w:pPr>
      <w:r>
        <w:rPr>
          <w:rFonts w:ascii="Arial" w:hAnsi="Arial" w:eastAsia="Arial" w:cs="Arial"/>
          <w:color w:val="26324A"/>
          <w:sz w:val="21"/>
        </w:rPr>
        <w:t>Wednesday defaults to planning and labelled sample-data analysis. If the approved potato practical is arranged, agree the exposure interval, adult supervision and named collection handover before the lesson. A teacher or technician collects the results after the approved exposure; keep those results for Friday. Do not leave potatoes soaking until Friday. Watching a video or using staff samples does not establish pupil practical completion.</w:t>
      </w:r>
    </w:p>
    <w:p>
      <w:pPr>
        <w:pStyle w:val="Heading2"/>
        <w:keepNext/>
        <w:widowControl/>
        <w:spacing w:before="160" w:after="100"/>
      </w:pPr>
      <w:r>
        <w:rPr>
          <w:rFonts w:ascii="Arial" w:hAnsi="Arial" w:eastAsia="Arial" w:cs="Arial"/>
          <w:b/>
          <w:color w:val="7A5C9E"/>
          <w:sz w:val="26"/>
        </w:rPr>
        <w:t>Week 6</w:t>
      </w:r>
    </w:p>
    <w:p>
      <w:pPr>
        <w:widowControl/>
        <w:spacing w:after="100" w:line="269" w:lineRule="auto"/>
      </w:pPr>
      <w:r>
        <w:rPr>
          <w:rFonts w:ascii="Arial" w:hAnsi="Arial" w:eastAsia="Arial" w:cs="Arial"/>
          <w:color w:val="26324A"/>
          <w:sz w:val="21"/>
        </w:rPr>
        <w:t>Use counters or the projected model. Friday includes printable scenario cards. Pupils can place, number or point to cards; cutting and dragging are optional. Ask for concentration and energy evidence before naming the process.</w:t>
      </w:r>
    </w:p>
    <w:p>
      <w:pPr>
        <w:pStyle w:val="Heading2"/>
        <w:keepNext/>
        <w:widowControl/>
        <w:spacing w:before="160" w:after="100"/>
      </w:pPr>
      <w:r>
        <w:rPr>
          <w:rFonts w:ascii="Arial" w:hAnsi="Arial" w:eastAsia="Arial" w:cs="Arial"/>
          <w:b/>
          <w:color w:val="7A5C9E"/>
          <w:sz w:val="26"/>
        </w:rPr>
        <w:t>Week 7</w:t>
      </w:r>
    </w:p>
    <w:p>
      <w:pPr>
        <w:widowControl/>
        <w:spacing w:after="100" w:line="269" w:lineRule="auto"/>
      </w:pPr>
      <w:r>
        <w:rPr>
          <w:rFonts w:ascii="Arial" w:hAnsi="Arial" w:eastAsia="Arial" w:cs="Arial"/>
          <w:color w:val="26324A"/>
          <w:sz w:val="21"/>
        </w:rPr>
        <w:t>Print the assessment for Friday. Use Q2, Q3 and Q5 only in the ten-minute Independent Task: 11 marks. The full 24-mark paper requires a separate 25-minute slot. Keep first attempts and scores private, and agree one precise next action.</w:t>
      </w:r>
    </w:p>
    <w:p>
      <w:pPr>
        <w:pStyle w:val="Title"/>
        <w:pageBreakBefore/>
        <w:widowControl/>
        <w:spacing w:after="100"/>
      </w:pPr>
      <w:r>
        <w:rPr>
          <w:rFonts w:ascii="Arial" w:hAnsi="Arial" w:eastAsia="Arial" w:cs="Arial"/>
          <w:b/>
          <w:color w:val="101C38"/>
          <w:sz w:val="48"/>
        </w:rPr>
        <w:t>Video prompts and alternatives</w:t>
      </w:r>
    </w:p>
    <w:p>
      <w:pPr>
        <w:pStyle w:val="Subtitle"/>
        <w:widowControl/>
        <w:spacing w:after="240"/>
      </w:pPr>
      <w:r>
        <w:rPr>
          <w:rFonts w:ascii="Arial" w:hAnsi="Arial" w:eastAsia="Arial" w:cs="Arial"/>
          <w:i w:val="0"/>
          <w:color w:val="7A5C9E"/>
          <w:sz w:val="21"/>
        </w:rPr>
        <w:t>Optional concept clips | freesciencelessons</w:t>
      </w:r>
    </w:p>
    <w:p>
      <w:pPr>
        <w:pStyle w:val="Heading2"/>
        <w:keepNext/>
        <w:widowControl/>
        <w:spacing w:before="160" w:after="100"/>
      </w:pPr>
      <w:r>
        <w:rPr>
          <w:rFonts w:ascii="Arial" w:hAnsi="Arial" w:eastAsia="Arial" w:cs="Arial"/>
          <w:b/>
          <w:color w:val="7A5C9E"/>
          <w:sz w:val="26"/>
        </w:rPr>
        <w:t>Microscopy</w:t>
      </w:r>
    </w:p>
    <w:p>
      <w:pPr>
        <w:widowControl/>
        <w:spacing w:after="100" w:line="269" w:lineRule="auto"/>
      </w:pPr>
      <w:r>
        <w:rPr>
          <w:rFonts w:ascii="Arial" w:hAnsi="Arial" w:eastAsia="Arial" w:cs="Arial"/>
          <w:color w:val="26324A"/>
          <w:sz w:val="21"/>
        </w:rPr>
        <w:t>https://www.youtube.com/watch?v=L5StAE_uuxM</w:t>
      </w:r>
    </w:p>
    <w:p>
      <w:pPr>
        <w:widowControl/>
        <w:spacing w:after="100" w:line="269" w:lineRule="auto"/>
      </w:pPr>
      <w:r>
        <w:rPr>
          <w:rFonts w:ascii="Arial" w:hAnsi="Arial" w:eastAsia="Arial" w:cs="Arial"/>
          <w:b/>
          <w:color w:val="26324A"/>
          <w:sz w:val="21"/>
        </w:rPr>
        <w:t xml:space="preserve">Ask: </w:t>
      </w:r>
      <w:r>
        <w:rPr>
          <w:rFonts w:ascii="Arial" w:hAnsi="Arial" w:eastAsia="Arial" w:cs="Arial"/>
          <w:color w:val="26324A"/>
          <w:sz w:val="21"/>
        </w:rPr>
        <w:t>What is the difference between making an image bigger and resolving more detail?</w:t>
      </w:r>
    </w:p>
    <w:p>
      <w:pPr>
        <w:pStyle w:val="Caption"/>
        <w:widowControl/>
        <w:spacing w:after="120"/>
      </w:pPr>
      <w:r>
        <w:rPr>
          <w:rFonts w:ascii="Arial" w:hAnsi="Arial" w:eastAsia="Arial" w:cs="Arial"/>
          <w:color w:val="526078"/>
          <w:sz w:val="18"/>
        </w:rPr>
        <w:t>Pause on the first relevant example, then take an explanation. Use at most 90 seconds within the model slot. If unavailable, use the labelled model in the PowerPoint and answer the same question.</w:t>
      </w:r>
    </w:p>
    <w:p>
      <w:pPr>
        <w:pStyle w:val="Heading2"/>
        <w:keepNext/>
        <w:widowControl/>
        <w:spacing w:before="160" w:after="100"/>
      </w:pPr>
      <w:r>
        <w:rPr>
          <w:rFonts w:ascii="Arial" w:hAnsi="Arial" w:eastAsia="Arial" w:cs="Arial"/>
          <w:b/>
          <w:color w:val="7A5C9E"/>
          <w:sz w:val="26"/>
        </w:rPr>
        <w:t>Diffusion</w:t>
      </w:r>
    </w:p>
    <w:p>
      <w:pPr>
        <w:widowControl/>
        <w:spacing w:after="100" w:line="269" w:lineRule="auto"/>
      </w:pPr>
      <w:r>
        <w:rPr>
          <w:rFonts w:ascii="Arial" w:hAnsi="Arial" w:eastAsia="Arial" w:cs="Arial"/>
          <w:color w:val="26324A"/>
          <w:sz w:val="21"/>
        </w:rPr>
        <w:t>https://www.youtube.com/watch?v=O965gA4goVI</w:t>
      </w:r>
    </w:p>
    <w:p>
      <w:pPr>
        <w:widowControl/>
        <w:spacing w:after="100" w:line="269" w:lineRule="auto"/>
      </w:pPr>
      <w:r>
        <w:rPr>
          <w:rFonts w:ascii="Arial" w:hAnsi="Arial" w:eastAsia="Arial" w:cs="Arial"/>
          <w:b/>
          <w:color w:val="26324A"/>
          <w:sz w:val="21"/>
        </w:rPr>
        <w:t xml:space="preserve">Ask: </w:t>
      </w:r>
      <w:r>
        <w:rPr>
          <w:rFonts w:ascii="Arial" w:hAnsi="Arial" w:eastAsia="Arial" w:cs="Arial"/>
          <w:color w:val="26324A"/>
          <w:sz w:val="21"/>
        </w:rPr>
        <w:t>What keeps happening when there is no net movement?</w:t>
      </w:r>
    </w:p>
    <w:p>
      <w:pPr>
        <w:pStyle w:val="Caption"/>
        <w:widowControl/>
        <w:spacing w:after="120"/>
      </w:pPr>
      <w:r>
        <w:rPr>
          <w:rFonts w:ascii="Arial" w:hAnsi="Arial" w:eastAsia="Arial" w:cs="Arial"/>
          <w:color w:val="526078"/>
          <w:sz w:val="18"/>
        </w:rPr>
        <w:t>Pause on the first relevant example, then take an explanation. Use at most 90 seconds within the model slot. If unavailable, use the labelled model in the PowerPoint and answer the same question.</w:t>
      </w:r>
    </w:p>
    <w:p>
      <w:pPr>
        <w:pStyle w:val="Heading2"/>
        <w:keepNext/>
        <w:widowControl/>
        <w:spacing w:before="160" w:after="100"/>
      </w:pPr>
      <w:r>
        <w:rPr>
          <w:rFonts w:ascii="Arial" w:hAnsi="Arial" w:eastAsia="Arial" w:cs="Arial"/>
          <w:b/>
          <w:color w:val="7A5C9E"/>
          <w:sz w:val="26"/>
        </w:rPr>
        <w:t>Gas exchange in the lungs</w:t>
      </w:r>
    </w:p>
    <w:p>
      <w:pPr>
        <w:widowControl/>
        <w:spacing w:after="100" w:line="269" w:lineRule="auto"/>
      </w:pPr>
      <w:r>
        <w:rPr>
          <w:rFonts w:ascii="Arial" w:hAnsi="Arial" w:eastAsia="Arial" w:cs="Arial"/>
          <w:color w:val="26324A"/>
          <w:sz w:val="21"/>
        </w:rPr>
        <w:t>https://www.youtube.com/watch?v=aPUPfzsqDgs</w:t>
      </w:r>
    </w:p>
    <w:p>
      <w:pPr>
        <w:widowControl/>
        <w:spacing w:after="100" w:line="269" w:lineRule="auto"/>
      </w:pPr>
      <w:r>
        <w:rPr>
          <w:rFonts w:ascii="Arial" w:hAnsi="Arial" w:eastAsia="Arial" w:cs="Arial"/>
          <w:b/>
          <w:color w:val="26324A"/>
          <w:sz w:val="21"/>
        </w:rPr>
        <w:t xml:space="preserve">Ask: </w:t>
      </w:r>
      <w:r>
        <w:rPr>
          <w:rFonts w:ascii="Arial" w:hAnsi="Arial" w:eastAsia="Arial" w:cs="Arial"/>
          <w:color w:val="26324A"/>
          <w:sz w:val="21"/>
        </w:rPr>
        <w:t>How does a thin wall help oxygen move into the blood?</w:t>
      </w:r>
    </w:p>
    <w:p>
      <w:pPr>
        <w:pStyle w:val="Caption"/>
        <w:widowControl/>
        <w:spacing w:after="120"/>
      </w:pPr>
      <w:r>
        <w:rPr>
          <w:rFonts w:ascii="Arial" w:hAnsi="Arial" w:eastAsia="Arial" w:cs="Arial"/>
          <w:color w:val="526078"/>
          <w:sz w:val="18"/>
        </w:rPr>
        <w:t>Pause on the first relevant example, then take an explanation. Use at most 90 seconds within the model slot. If unavailable, use the labelled model in the PowerPoint and answer the same question.</w:t>
      </w:r>
    </w:p>
    <w:p>
      <w:pPr>
        <w:pStyle w:val="Heading2"/>
        <w:keepNext/>
        <w:widowControl/>
        <w:spacing w:before="160" w:after="100"/>
      </w:pPr>
      <w:r>
        <w:rPr>
          <w:rFonts w:ascii="Arial" w:hAnsi="Arial" w:eastAsia="Arial" w:cs="Arial"/>
          <w:b/>
          <w:color w:val="7A5C9E"/>
          <w:sz w:val="26"/>
        </w:rPr>
        <w:t>Osmosis</w:t>
      </w:r>
    </w:p>
    <w:p>
      <w:pPr>
        <w:widowControl/>
        <w:spacing w:after="100" w:line="269" w:lineRule="auto"/>
      </w:pPr>
      <w:r>
        <w:rPr>
          <w:rFonts w:ascii="Arial" w:hAnsi="Arial" w:eastAsia="Arial" w:cs="Arial"/>
          <w:color w:val="26324A"/>
          <w:sz w:val="21"/>
        </w:rPr>
        <w:t>https://www.youtube.com/watch?v=B0cH91joZwA</w:t>
      </w:r>
    </w:p>
    <w:p>
      <w:pPr>
        <w:widowControl/>
        <w:spacing w:after="100" w:line="269" w:lineRule="auto"/>
      </w:pPr>
      <w:r>
        <w:rPr>
          <w:rFonts w:ascii="Arial" w:hAnsi="Arial" w:eastAsia="Arial" w:cs="Arial"/>
          <w:b/>
          <w:color w:val="26324A"/>
          <w:sz w:val="21"/>
        </w:rPr>
        <w:t xml:space="preserve">Ask: </w:t>
      </w:r>
      <w:r>
        <w:rPr>
          <w:rFonts w:ascii="Arial" w:hAnsi="Arial" w:eastAsia="Arial" w:cs="Arial"/>
          <w:color w:val="26324A"/>
          <w:sz w:val="21"/>
        </w:rPr>
        <w:t>Which substance moves, through what, and in which net direction?</w:t>
      </w:r>
    </w:p>
    <w:p>
      <w:pPr>
        <w:pStyle w:val="Caption"/>
        <w:widowControl/>
        <w:spacing w:after="120"/>
      </w:pPr>
      <w:r>
        <w:rPr>
          <w:rFonts w:ascii="Arial" w:hAnsi="Arial" w:eastAsia="Arial" w:cs="Arial"/>
          <w:color w:val="526078"/>
          <w:sz w:val="18"/>
        </w:rPr>
        <w:t>Pause on the first relevant example, then take an explanation. Use at most 90 seconds within the model slot. If unavailable, use the labelled model in the PowerPoint and answer the same question.</w:t>
      </w:r>
    </w:p>
    <w:p>
      <w:pPr>
        <w:pStyle w:val="Heading2"/>
        <w:keepNext/>
        <w:widowControl/>
        <w:spacing w:before="160" w:after="100"/>
      </w:pPr>
      <w:r>
        <w:rPr>
          <w:rFonts w:ascii="Arial" w:hAnsi="Arial" w:eastAsia="Arial" w:cs="Arial"/>
          <w:b/>
          <w:color w:val="7A5C9E"/>
          <w:sz w:val="26"/>
        </w:rPr>
        <w:t>Active transport</w:t>
      </w:r>
    </w:p>
    <w:p>
      <w:pPr>
        <w:widowControl/>
        <w:spacing w:after="100" w:line="269" w:lineRule="auto"/>
      </w:pPr>
      <w:r>
        <w:rPr>
          <w:rFonts w:ascii="Arial" w:hAnsi="Arial" w:eastAsia="Arial" w:cs="Arial"/>
          <w:color w:val="26324A"/>
          <w:sz w:val="21"/>
        </w:rPr>
        <w:t>https://www.youtube.com/watch?v=ECldVkp6Rw0</w:t>
      </w:r>
    </w:p>
    <w:p>
      <w:pPr>
        <w:widowControl/>
        <w:spacing w:after="100" w:line="269" w:lineRule="auto"/>
      </w:pPr>
      <w:r>
        <w:rPr>
          <w:rFonts w:ascii="Arial" w:hAnsi="Arial" w:eastAsia="Arial" w:cs="Arial"/>
          <w:b/>
          <w:color w:val="26324A"/>
          <w:sz w:val="21"/>
        </w:rPr>
        <w:t xml:space="preserve">Ask: </w:t>
      </w:r>
      <w:r>
        <w:rPr>
          <w:rFonts w:ascii="Arial" w:hAnsi="Arial" w:eastAsia="Arial" w:cs="Arial"/>
          <w:color w:val="26324A"/>
          <w:sz w:val="21"/>
        </w:rPr>
        <w:t>What two clues distinguish active transport from diffusion?</w:t>
      </w:r>
    </w:p>
    <w:p>
      <w:pPr>
        <w:pStyle w:val="Caption"/>
        <w:widowControl/>
        <w:spacing w:after="120"/>
      </w:pPr>
      <w:r>
        <w:rPr>
          <w:rFonts w:ascii="Arial" w:hAnsi="Arial" w:eastAsia="Arial" w:cs="Arial"/>
          <w:color w:val="526078"/>
          <w:sz w:val="18"/>
        </w:rPr>
        <w:t>Pause on the first relevant example, then take an explanation. Use at most 90 seconds within the model slot. If unavailable, use the labelled model in the PowerPoint and answer the same question.</w:t>
      </w:r>
    </w:p>
    <w:p>
      <w:pPr>
        <w:pStyle w:val="Caption"/>
        <w:widowControl/>
        <w:spacing w:after="120"/>
      </w:pPr>
      <w:r>
        <w:rPr>
          <w:rFonts w:ascii="Arial" w:hAnsi="Arial" w:eastAsia="Arial" w:cs="Arial"/>
          <w:color w:val="526078"/>
          <w:sz w:val="18"/>
        </w:rPr>
        <w:t>Links were located on 5 September 2026. Playback and filtering depend on the school connection. The material is linked, not downloaded or rebadged. Source: https://www.freesciencelessons.co.uk/gcse-biology-paper-1/cell-biology/</w:t>
      </w:r>
    </w:p>
    <w:p>
      <w:pPr>
        <w:pStyle w:val="Title"/>
        <w:pageBreakBefore/>
        <w:widowControl/>
        <w:spacing w:after="100"/>
      </w:pPr>
      <w:r>
        <w:rPr>
          <w:rFonts w:ascii="Arial" w:hAnsi="Arial" w:eastAsia="Arial" w:cs="Arial"/>
          <w:b/>
          <w:color w:val="101C38"/>
          <w:sz w:val="48"/>
        </w:rPr>
        <w:t>W3L1 | Microscopy</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Magnification is how many times larger an image is. Resolution is whether close points can be seen separately. Enlarging a blur does not recover detail.</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Do not add the lens powers. At high power use fine focus only; follow the microscope’s approved procedure.</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A microscope. Greater magnification, e.g. a higher-power lens or enlarging a print. Suitable resolution/optics and correct focus; enlargement alone is not enough.</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No — size and detail are different</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×400 Correct relationship. Now state which two lens values were multiplied.</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×40; ×100; ×400. Multiply eyepiece by objective.</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No. Magnification increases image size; resolution is the ability to distinguish nearby points. Enlargement alone adds no detail.</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Accept a route-labelled observation. A digital drawing cannot establish the real specimen’s appearance or demonstrate practical handling.</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The field of view becomes smaller, so an off-centre specimen may disappear.</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The total magnification changes from ×40 to ×400 because 10 × 40 = 400. The field of view becomes smaller, so less of the specimen is visible. The image appears larger, but improved resolution depends on the optics and focus, not magnification alone. The digital model does not reproduce real specimen preparation or optical limits.</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A larger image may still be blurred; resolution concerns seeing nearby points separately.</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which change is about size and which is about detail before naming either term.</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W3 Magnification slides 5–7; microscopy is retained from the LAUNCH baseline.</w:t>
      </w:r>
    </w:p>
    <w:p>
      <w:pPr>
        <w:pStyle w:val="Title"/>
        <w:pageBreakBefore/>
        <w:widowControl/>
        <w:spacing w:after="100"/>
      </w:pPr>
      <w:r>
        <w:rPr>
          <w:rFonts w:ascii="Arial" w:hAnsi="Arial" w:eastAsia="Arial" w:cs="Arial"/>
          <w:b/>
          <w:color w:val="101C38"/>
          <w:sz w:val="48"/>
        </w:rPr>
        <w:t>W3L2 | Magnification</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Name the unknown, match the units, select the relationship, substitute, then check. Magnification is a ratio: write ×200, not 200 mm.</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50 µm is 0.05 mm, not 50 mm. A correct final value is not evidence that the unit route was understood.</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M = I ÷ A (also I = M × A). 1000 µm. So the ratio compares like units; otherwise a scale factor remains hidden.</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×1000</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24 mm = 24,000 µm Correct. Now divide 24,000 µm by 60 µm.</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20 ÷ 0.1 = ×200.</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50 ÷ 0.5 = ×100.</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I = M × A = 400 × 0.05 = 20 mm.</w:t>
      </w:r>
    </w:p>
    <w:p>
      <w:pPr>
        <w:widowControl/>
        <w:spacing w:after="100" w:line="269" w:lineRule="auto"/>
      </w:pPr>
      <w:r>
        <w:rPr>
          <w:rFonts w:ascii="Arial" w:hAnsi="Arial" w:eastAsia="Arial" w:cs="Arial"/>
          <w:b/>
          <w:color w:val="26324A"/>
          <w:sz w:val="21"/>
        </w:rPr>
        <w:t xml:space="preserve">4. </w:t>
      </w:r>
      <w:r>
        <w:rPr>
          <w:rFonts w:ascii="Arial" w:hAnsi="Arial" w:eastAsia="Arial" w:cs="Arial"/>
          <w:color w:val="26324A"/>
          <w:sz w:val="21"/>
        </w:rPr>
        <w:t>A = I ÷ M = 30 ÷ 600 = 0.05 mm = 50 µm.</w:t>
      </w:r>
    </w:p>
    <w:p>
      <w:pPr>
        <w:widowControl/>
        <w:spacing w:after="100" w:line="269" w:lineRule="auto"/>
      </w:pPr>
      <w:r>
        <w:rPr>
          <w:rFonts w:ascii="Arial" w:hAnsi="Arial" w:eastAsia="Arial" w:cs="Arial"/>
          <w:b/>
          <w:color w:val="26324A"/>
          <w:sz w:val="21"/>
        </w:rPr>
        <w:t xml:space="preserve">5. </w:t>
      </w:r>
      <w:r>
        <w:rPr>
          <w:rFonts w:ascii="Arial" w:hAnsi="Arial" w:eastAsia="Arial" w:cs="Arial"/>
          <w:color w:val="26324A"/>
          <w:sz w:val="21"/>
        </w:rPr>
        <w:t>50 µm = 0.05 mm; 25 ÷ 0.05 = ×500.</w:t>
      </w:r>
    </w:p>
    <w:p>
      <w:pPr>
        <w:widowControl/>
        <w:spacing w:after="100" w:line="269" w:lineRule="auto"/>
      </w:pPr>
      <w:r>
        <w:rPr>
          <w:rFonts w:ascii="Arial" w:hAnsi="Arial" w:eastAsia="Arial" w:cs="Arial"/>
          <w:b/>
          <w:color w:val="26324A"/>
          <w:sz w:val="21"/>
        </w:rPr>
        <w:t xml:space="preserve">6. </w:t>
      </w:r>
      <w:r>
        <w:rPr>
          <w:rFonts w:ascii="Arial" w:hAnsi="Arial" w:eastAsia="Arial" w:cs="Arial"/>
          <w:color w:val="26324A"/>
          <w:sz w:val="21"/>
        </w:rPr>
        <w:t>nm, µm, mm. Each adjacent unit here differs by a factor of 1000.</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M doubles because actual size is unchanged and M = I ÷ A.</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36 mm = 36,000 µm. Magnification = image size ÷ actual size = 36,000 ÷ 90 = ×400. This is plausible because the measured image is hundreds of times larger than the actual cell.</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Convert image and actual size to the same unit before dividing.</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which two values are known and whether their units match before discussing arithmetic.</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W3 worksheet Tasks 1–3 and W3 slides 6–9.</w:t>
      </w:r>
    </w:p>
    <w:p>
      <w:pPr>
        <w:pStyle w:val="Title"/>
        <w:pageBreakBefore/>
        <w:widowControl/>
        <w:spacing w:after="100"/>
      </w:pPr>
      <w:r>
        <w:rPr>
          <w:rFonts w:ascii="Arial" w:hAnsi="Arial" w:eastAsia="Arial" w:cs="Arial"/>
          <w:b/>
          <w:color w:val="101C38"/>
          <w:sz w:val="48"/>
        </w:rPr>
        <w:t>W3L3 | Scale Bars</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A ruler measurement changes if a picture is resized. A scale bar stays useful if the image and bar are resized together.</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Do not claim pupils measured a real cell if they used stated lengths or a model. A precise-looking number is not automatically an accurate measurement.</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80 µm. A = I ÷ M. Fuzzy edge, ruler alignment, scale-bar measurement or image resizing.</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Their units and working</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Rearrangement/relationship Correct diagnosis. Magnification uses image size divided by actual size.</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Units were not matched. 48 mm = 48,000 µm; 48,000 ÷ 80 = ×600.</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Cell is 25 ÷ 10 = 2.5 scale bars long; 2.5 × 20 = 50 µm.</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Printed cell and bar both double. Their ratio and the estimated actual length stay the same. The printed image magnification doubles.</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Repeat the measurement, record the range/uncertainty and avoid unsupported precision; do not invent a single exact boundary.</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48 mm = 48,000 µm. Magnification = 48,000 ÷ 80 = ×600. A unit error would be visible if millimetres and micrometres were divided directly or converted by the wrong factor. A measurement error would be checked by realigning the ruler with the specimen edges and measuring again.</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Check unit conversion and powers of ten first; then check the measurement and arithmetic.</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Do not repair the whole calculation. Ask the pupil to name the error type and change one step.</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W3 worksheet estimation and exam-style task; W3 slides 8–10.</w:t>
      </w:r>
    </w:p>
    <w:p>
      <w:pPr>
        <w:pStyle w:val="Title"/>
        <w:pageBreakBefore/>
        <w:widowControl/>
        <w:spacing w:after="100"/>
      </w:pPr>
      <w:r>
        <w:rPr>
          <w:rFonts w:ascii="Arial" w:hAnsi="Arial" w:eastAsia="Arial" w:cs="Arial"/>
          <w:b/>
          <w:color w:val="101C38"/>
          <w:sz w:val="48"/>
        </w:rPr>
        <w:t>W4L1 | Diffusion</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Particles move randomly in both directions. Net movement is the difference between those two movements, not a rule obeyed by every particle.</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Passive means no energy supplied by respiration is needed. It does not mean particles have no kinetic energy.</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Amount of a substance per unit volume. A difference/change in concentration across a distance. More particles on one side produce more crossings from that side on average.</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Yes — more particles begin on the high side</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Particles move randomly, with net movement down the gradient Accurate. Use crossing counts to justify the net direction.</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8 − 2 = 6 particles net left to right in this illustrative interval.</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5 − 5 = 0 net. Particles still move randomly and cross both ways.</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Particles have greater average kinetic energy and move faster, so exchange occurs faster, other conditions unchanged.</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Concentration is amount per volume. Unequal volumes can make counts misleading.</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Chamber A has the faster initial net diffusion because its concentration difference is larger. Particles move randomly in both directions, but more particles begin on the left in A, so more left-to-right crossings occur at first. This produces a greater net movement down the concentration gradient.</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Random particle movement and crossings continue at equilibrium.</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the pupil to compare starting counts on both sides before discussing direction.</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W4 Diffusion worksheet particle model and exam task; no W4 PPTX was supplied.</w:t>
      </w:r>
    </w:p>
    <w:p>
      <w:pPr>
        <w:pStyle w:val="Heading2"/>
      </w:pPr>
      <w:r>
        <w:t>Arrival answers (staff only; do not display)</w:t>
      </w:r>
    </w:p>
    <w:p>
      <w:pPr/>
      <w:r>
        <w:t>Supported 1. Yes. Accept pointing or nodding. The smell spreads through the air on its own.</w:t>
      </w:r>
    </w:p>
    <w:p>
      <w:pPr/>
      <w:r>
        <w:t>Supported 2. Strong. More particles in the same volume means a higher concentration.</w:t>
      </w:r>
    </w:p>
    <w:p>
      <w:pPr/>
      <w:r>
        <w:t>Supported 3. Far apart, and moving. Accept a gesture that shows spread-out particles.</w:t>
      </w:r>
    </w:p>
    <w:p>
      <w:pPr/>
      <w:r>
        <w:t>Supported 4. Lungs. The air sacs in the lungs are where oxygen enters the blood.</w:t>
      </w:r>
    </w:p>
    <w:p>
      <w:pPr/>
      <w:r>
        <w:t>Standard 1. Particles of the perfume, mixed into the air. Accept molecules.</w:t>
      </w:r>
    </w:p>
    <w:p>
      <w:pPr/>
      <w:r>
        <w:t>Standard 2. How many particles of a substance there are in a given volume. Accept how much is dissolved in a certain amount.</w:t>
      </w:r>
    </w:p>
    <w:p>
      <w:pPr/>
      <w:r>
        <w:t>Standard 3. Gases; the particles are far apart and move freely in all directions.</w:t>
      </w:r>
    </w:p>
    <w:p>
      <w:pPr/>
      <w:r>
        <w:t>Standard 4. Oxygen is collected; carbon dioxide is given up.</w:t>
      </w:r>
    </w:p>
    <w:p>
      <w:pPr/>
      <w:r>
        <w:t>Stretch 1. Particles move randomly all the time. Over time random motion carries more of them from where they are crowded to where they are few, so the smell spreads. Accept a first idea to refine later.</w:t>
      </w:r>
    </w:p>
    <w:p>
      <w:pPr/>
      <w:r>
        <w:t>Stretch 2. A concentration gradient. Accept the difference in concentration between two places.</w:t>
      </w:r>
    </w:p>
    <w:p>
      <w:pPr/>
      <w:r>
        <w:t>Stretch 3. Warm particles have more energy and move faster, so they spread out more quickly.</w:t>
      </w:r>
    </w:p>
    <w:p>
      <w:pPr/>
      <w:r>
        <w:t>Stretch 4. There is more oxygen in the air sac than in the blood arriving there, so the net movement is into the blood. Accept from high to low concentration.</w:t>
      </w:r>
    </w:p>
    <w:p>
      <w:pPr>
        <w:pStyle w:val="Caption"/>
      </w:pPr>
      <w:r>
        <w:t>Allow four minutes within the arrival stage. Read or scribe as needed. Start from what pupils show; a pass or a not-sure is information about the starting point, not a label. Accept spoken, signed, drawn, pointed, chosen or scribed answers as equal.</w:t>
      </w:r>
    </w:p>
    <w:p>
      <w:pPr>
        <w:pStyle w:val="Heading2"/>
      </w:pPr>
      <w:r>
        <w:t>Exit ticket answers (staff only)</w:t>
      </w:r>
    </w:p>
    <w:p>
      <w:pPr/>
      <w:r>
        <w:t>Supported 1. Lower. Particles spread from where they are crowded to where they are few.</w:t>
      </w:r>
    </w:p>
    <w:p>
      <w:pPr/>
      <w:r>
        <w:t>Supported 2. Faster. A bigger difference in concentration means a faster net movement.</w:t>
      </w:r>
    </w:p>
    <w:p>
      <w:pPr/>
      <w:r>
        <w:t>Standard 1. Net; concentration. Accept net movement of particles down a concentration gradient.</w:t>
      </w:r>
    </w:p>
    <w:p>
      <w:pPr/>
      <w:r>
        <w:t>Standard 2. Any two of: a steeper concentration gradient, a higher temperature, a larger surface area, a shorter distance to cross.</w:t>
      </w:r>
    </w:p>
    <w:p>
      <w:pPr/>
      <w:r>
        <w:t>Stretch 1. A thinner membrane means a shorter distance for particles to cross, so each particle crosses in less time and the rate is higher.</w:t>
      </w:r>
    </w:p>
    <w:p>
      <w:pPr/>
      <w:r>
        <w:t>Stretch 2. Warmer particles have more energy and move faster, so more of them cross in a given time and the rate rises.</w:t>
      </w:r>
    </w:p>
    <w:p>
      <w:pPr>
        <w:pStyle w:val="Caption"/>
      </w:pPr>
      <w:r>
        <w:t>Use the last four minutes for one exit route. Read the response in light of the help used; accept spoken, signed, drawn, pointed, chosen, typed or scribed answers. A response is not automatically marked; an adult reads or hears it. The next lesson is named on the slide by name only. Next lesson: Diffusion in the Lungs: Testing Breath.</w:t>
      </w:r>
    </w:p>
    <w:p>
      <w:pPr>
        <w:pStyle w:val="Heading2"/>
      </w:pPr>
      <w:r>
        <w:t>Feedback and marking · Diffusion</w:t>
      </w:r>
    </w:p>
    <w:p>
      <w:pPr>
        <w:pStyle w:val="Caption"/>
      </w:pPr>
      <w:r>
        <w:t>Codes from the Feedback &amp; Marking Policy 2025/2026 (Pilot), Issue 1, May 2026, verified in session 2026-09-15 (SHA-256 41046284a00c9218679b946134cbc6e53c1897aad28b15fc4bd4aa963720ff3b).</w:t>
      </w:r>
    </w:p>
    <w:tbl>
      <w:tblPr>
        <w:tblW w:type="auto" w:w="0"/>
        <w:tblLook w:firstColumn="1" w:firstRow="1" w:lastColumn="0" w:lastRow="0" w:noHBand="0" w:noVBand="1" w:val="04A0"/>
      </w:tblPr>
      <w:tblGrid>
        <w:gridCol w:w="4993"/>
        <w:gridCol w:w="4993"/>
      </w:tblGrid>
      <w:tr>
        <w:tc>
          <w:tcPr>
            <w:tcW w:type="dxa" w:w="4993"/>
          </w:tcPr>
          <w:p>
            <w:r>
              <w:t>Code</w:t>
            </w:r>
          </w:p>
        </w:tc>
        <w:tc>
          <w:tcPr>
            <w:tcW w:type="dxa" w:w="4993"/>
          </w:tcPr>
          <w:p>
            <w:r>
              <w:t>Meaning</w:t>
            </w:r>
          </w:p>
        </w:tc>
      </w:tr>
      <w:tr>
        <w:tc>
          <w:tcPr>
            <w:tcW w:type="dxa" w:w="4993"/>
          </w:tcPr>
          <w:p>
            <w:r>
              <w:t>VF</w:t>
            </w:r>
          </w:p>
        </w:tc>
        <w:tc>
          <w:tcPr>
            <w:tcW w:type="dxa" w:w="4993"/>
          </w:tcPr>
          <w:p>
            <w:r>
              <w:t>Verbal feedback given here</w:t>
            </w:r>
          </w:p>
        </w:tc>
      </w:tr>
      <w:tr>
        <w:tc>
          <w:tcPr>
            <w:tcW w:type="dxa" w:w="4993"/>
          </w:tcPr>
          <w:p>
            <w:r>
              <w:t>WS</w:t>
            </w:r>
          </w:p>
        </w:tc>
        <w:tc>
          <w:tcPr>
            <w:tcW w:type="dxa" w:w="4993"/>
          </w:tcPr>
          <w:p>
            <w:r>
              <w:t>Worked with support</w:t>
            </w:r>
          </w:p>
        </w:tc>
      </w:tr>
      <w:tr>
        <w:tc>
          <w:tcPr>
            <w:tcW w:type="dxa" w:w="4993"/>
          </w:tcPr>
          <w:p>
            <w:r>
              <w:t>I</w:t>
            </w:r>
          </w:p>
        </w:tc>
        <w:tc>
          <w:tcPr>
            <w:tcW w:type="dxa" w:w="4993"/>
          </w:tcPr>
          <w:p>
            <w:r>
              <w:t>Independent</w:t>
            </w:r>
          </w:p>
        </w:tc>
      </w:tr>
      <w:tr>
        <w:tc>
          <w:tcPr>
            <w:tcW w:type="dxa" w:w="4993"/>
          </w:tcPr>
          <w:p>
            <w:r>
              <w:t>NS + …</w:t>
            </w:r>
          </w:p>
        </w:tc>
        <w:tc>
          <w:tcPr>
            <w:tcW w:type="dxa" w:w="4993"/>
          </w:tcPr>
          <w:p>
            <w:r>
              <w:t>Next step one specific thing</w:t>
            </w:r>
          </w:p>
        </w:tc>
      </w:tr>
      <w:tr>
        <w:tc>
          <w:tcPr>
            <w:tcW w:type="dxa" w:w="4993"/>
          </w:tcPr>
          <w:p>
            <w:r>
              <w:t>E</w:t>
            </w:r>
          </w:p>
        </w:tc>
        <w:tc>
          <w:tcPr>
            <w:tcW w:type="dxa" w:w="4993"/>
          </w:tcPr>
          <w:p>
            <w:r>
              <w:t>Evidence captured on the school's digital evidence platform</w:t>
            </w:r>
          </w:p>
        </w:tc>
      </w:tr>
      <w:tr>
        <w:tc>
          <w:tcPr>
            <w:tcW w:type="dxa" w:w="4993"/>
          </w:tcPr>
          <w:p>
            <w:r>
              <w:t>R</w:t>
            </w:r>
          </w:p>
        </w:tc>
        <w:tc>
          <w:tcPr>
            <w:tcW w:type="dxa" w:w="4993"/>
          </w:tcPr>
          <w:p>
            <w:r>
              <w:t>Responded loop closed (Audience has happened)</w:t>
            </w:r>
          </w:p>
        </w:tc>
      </w:tr>
      <w:tr>
        <w:tc>
          <w:tcPr>
            <w:tcW w:type="dxa" w:w="4993"/>
          </w:tcPr>
          <w:p>
            <w:r>
              <w:t>//</w:t>
            </w:r>
          </w:p>
        </w:tc>
        <w:tc>
          <w:tcPr>
            <w:tcW w:type="dxa" w:w="4993"/>
          </w:tcPr>
          <w:p>
            <w:r>
              <w:t>Self-edit point</w:t>
            </w:r>
          </w:p>
        </w:tc>
      </w:tr>
      <w:tr>
        <w:tc>
          <w:tcPr>
            <w:tcW w:type="dxa" w:w="4993"/>
          </w:tcPr>
          <w:p>
            <w:r>
              <w:t>?</w:t>
            </w:r>
          </w:p>
        </w:tc>
        <w:tc>
          <w:tcPr>
            <w:tcW w:type="dxa" w:w="4993"/>
          </w:tcPr>
          <w:p>
            <w:r>
              <w:t>Read this back to me</w:t>
            </w:r>
          </w:p>
        </w:tc>
      </w:tr>
    </w:tbl>
    <w:p>
      <w:pPr/>
      <w:r>
        <w:t>Curriculum Policy 2026/27 §14.3 summary: VF WS I NS E R (six codes; NS “next step”, E “evidence on digital software app”, R “responded to feedback”). The Feedback Policy, the code source, adds // and ? and expands NS to one specific thing and R to loop closed.</w:t>
      </w:r>
    </w:p>
    <w:p>
      <w:pPr/>
      <w:r>
        <w:t>Lead with VF in the practical, sort and exit tasks. Written feedback is for extended writing only, strategic and not every piece (Curriculum Policy 2026/27 §14.3): here that means the Stretch explanation in the independent task, when it is worth a written next step.</w:t>
      </w:r>
    </w:p>
    <w:p>
      <w:pPr/>
      <w:r>
        <w:t>Make participation possible — Use regulation time, a trusted adult, accessible response routes and permission to refuse. The one small help prompt in We Do 2 is optional to open; genuine feedback is not optional and is not limited to that moment. Space: lung and breathing content can land close to home, so a pupil may work from the diagram and skip discussion.</w:t>
      </w:r>
    </w:p>
    <w:p>
      <w:pPr/>
      <w:r>
        <w:t>Voice — The pupil responds in their own way: an edit in the margin in the same colour on the same page, a re-attempt, a verbal reply, a demonstration, a signed or symbol-chosen answer, or a captured comment. Voice is invited during the sort and again in the exit; it can be recorded as VF only when verbal feedback was actually given.</w:t>
      </w:r>
    </w:p>
    <w:p>
      <w:pPr/>
      <w:r>
        <w:t>Audience — An adult genuinely reads, hears or watches the response and names what they heard back to the pupil. Add R only when the pupil responded AND the adult engaged with the response; no button, saved answer or completed exit supplies R on its own.</w:t>
      </w:r>
    </w:p>
    <w:p>
      <w:pPr/>
      <w:r>
        <w:t>Influence — Change the next explanation, question, scaffold or task from what the pupil showed. In this lesson the sort tells you which example to re-model before the independent task; the exit tells you which route to open next lesson.</w:t>
      </w:r>
    </w:p>
    <w:p>
      <w:pPr/>
      <w:r>
        <w:t>Model, supplied data, observation — The particle diagram and the sort cards are models. The alveolus figures are supplied illustrations. Neither is a measurement; do not record either as practical evidence. The breath test comes in the next lesson and is the pupil's own observation.</w:t>
      </w:r>
    </w:p>
    <w:p>
      <w:pPr/>
      <w:r>
        <w:t>Destination link (Launch) — Diffusion is examined in Edexcel GCSE Biology 1BI0 Paper 1 Topic 1 and in Combined Science 1SC0. The same ideas run through Level 3 science and health routes, from nursing and paramedic practice, where gas exchange is the daily reality, to laboratory work on membranes and drug delivery.</w:t>
      </w:r>
    </w:p>
    <w:p>
      <w:pPr/>
      <w:r>
        <w:t>Optional video (staff choice) — A short explainer clip exists online; it is linked for staff only, never embedded, never autoplayed and never assumed available. The lesson does not depend on it. If used, play it with captions from the classroom screen.</w:t>
      </w:r>
    </w:p>
    <w:p>
      <w:pPr/>
      <w:r>
        <w:t>Response modes — Verbal, written, drawn, signed, symbol or choice selected, demonstrated or re-attempted, adult scribed. All count in the arrival, the sort and the exit.</w:t>
      </w:r>
    </w:p>
    <w:p>
      <w:pPr>
        <w:pStyle w:val="Caption"/>
      </w:pPr>
      <w:r>
        <w:t>Revision 15 September 2026: this section is aligned with the canonical lesson’s arrival routes, knowledge organiser, exit routes and feedback card. Templates carry no pupil data.</w:t>
      </w:r>
    </w:p>
    <w:p>
      <w:pPr>
        <w:pStyle w:val="Title"/>
        <w:pageBreakBefore/>
        <w:widowControl/>
        <w:spacing w:after="100"/>
      </w:pPr>
      <w:r>
        <w:rPr>
          <w:rFonts w:ascii="Arial" w:hAnsi="Arial" w:eastAsia="Arial" w:cs="Arial"/>
          <w:b/>
          <w:color w:val="101C38"/>
          <w:sz w:val="48"/>
        </w:rPr>
        <w:t>W4L2 | Gas Exchange</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For each feature, say what it changes physically and why that affects diffusion. “Good lungs” is not an explanation.</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Both alveolar and capillary walls contribute to the diffusion path. Do not describe oxygen as choosing a destination.</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Alveolar air into arriving blood, down its oxygen gradient. Arriving blood into alveolar air, down its CO₂ gradient. Temperature, concentration gradient, distance or surface area.</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A thinner wall</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It removes oxygenated blood and maintains a gradient Correct. Link maintained gradient to continued net diffusion.</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Oxygen: air into blood. Carbon dioxide: blood into air.</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They give a short diffusion distance, so oxygen crosses more quickly down its gradient.</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Blood flow removes oxygenated blood and brings blood with less oxygen, helping maintain the oxygen gradient; it also supplies CO₂ for diffusion into the alveolus.</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No. Ventilation can help maintain a gradient but does not remove the longer diffusion path.</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A thicker alveolar wall increases the distance oxygen must diffuse, so the rate of oxygen movement into blood falls. Faster ventilation may maintain a steep oxygen concentration gradient, but it does not make the thickened exchange surface thinner, so the longer diffusion path remains.</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A thin exchange surface shortens the diffusion distance.</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for the feature, then its physical effect, then the diffusion consequence; do not jump straight to ‘more efficient’.</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W4 worksheet oxygen/CO₂ context, expanded through the existing lungs lesson.</w:t>
      </w:r>
    </w:p>
    <w:p>
      <w:pPr>
        <w:pStyle w:val="Title"/>
        <w:pageBreakBefore/>
        <w:widowControl/>
        <w:spacing w:after="100"/>
      </w:pPr>
      <w:r>
        <w:rPr>
          <w:rFonts w:ascii="Arial" w:hAnsi="Arial" w:eastAsia="Arial" w:cs="Arial"/>
          <w:b/>
          <w:color w:val="101C38"/>
          <w:sz w:val="48"/>
        </w:rPr>
        <w:t>W4L3 | Diffusion Evidence</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Describe tells us the pattern. Explain links that pattern to a mechanism. Evaluation asks whether the evidence supports the conclusion.</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Dye spreading in warm water can include convection. Do not present an uncontrolled demonstration as proof of diffusion rate alone.</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Net particle movement from higher to lower concentration, down a gradient. A shorter distance increases exchange rate, other conditions unchanged. Scientific cause linked to consequence.</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Surface area and distance</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The small cube had a shorter average diffusion distance, so dye reached its centre sooner. Correct: evidence, scientific cause and consequence are linked.</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Area doubles from 10 to 20 cm² and transfer doubles from 4 to 8 model units per minute.</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A larger area gives more surface for particles to cross at the same time, increasing total net transfer down the gradient.</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No. These are model data. Real doses, materials and biological effects are not established; do not change medicines from this classroom model.</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Measure transfer per minute repeatedly for both areas under the same controlled conditions.</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A larger contact area provides more surface through which particles can diffuse at the same time. If a concentration gradient is maintained, this can increase the total net movement of medicine across the skin each minute. Repeated measurements of mass released per minute for both patch designs would strengthen the conclusion.</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Description states what changed; explanation states why using the science.</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which evidence changes the gradient, distance or area; do not dictate a model answer.</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W4 worksheet rate-factor explanation task.</w:t>
      </w:r>
    </w:p>
    <w:p>
      <w:pPr>
        <w:pStyle w:val="Title"/>
        <w:pageBreakBefore/>
        <w:widowControl/>
        <w:spacing w:after="100"/>
      </w:pPr>
      <w:r>
        <w:rPr>
          <w:rFonts w:ascii="Arial" w:hAnsi="Arial" w:eastAsia="Arial" w:cs="Arial"/>
          <w:b/>
          <w:color w:val="101C38"/>
          <w:sz w:val="48"/>
        </w:rPr>
        <w:t>W5L1 | Osmosis</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Osmosis is net water movement through a partially permeable membrane from a more dilute to a more concentrated solution.</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The potato is tissue, not a single membrane. Its cells have membranes. “Concentrated” must be relative to the solution on the other side.</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The overall difference between movements in opposite directions. Which substances can pass into or out of a cell. No; random movement continues both ways.</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Water</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Net movement of water through a partially permeable membrane from a more dilute to a more concentrated solution Accurate GCSE phrasing for this course.</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Into the cell; no net movement; out of the cell.</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Water leaves cells by osmosis through their partially permeable membranes, causing net water loss and lower tissue mass.</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Osmosis requires a partially permeable membrane. Without one, water can mix/diffuse but this is not osmosis across a membrane.</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No. Movement continues both ways at equal average rates, so net movement is zero.</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Water moves out of the plant cell by osmosis because the surrounding sugar solution is more concentrated and the cell membrane is partially permeable. Water can cross the membrane in the model, but the larger solute particles are blocked. Unlike active transport, osmosis does not move solute against a concentration gradient using cellular energy.</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Water and a partially permeable membrane; also state the correct net direction.</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what can cross the membrane and compare the solutions before giving any direction cue.</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W5 Osmosis slides 5–7 and worksheet Task 1.</w:t>
      </w:r>
    </w:p>
    <w:p>
      <w:pPr>
        <w:pStyle w:val="Title"/>
        <w:pageBreakBefore/>
        <w:widowControl/>
        <w:spacing w:after="100"/>
      </w:pPr>
      <w:r>
        <w:rPr>
          <w:rFonts w:ascii="Arial" w:hAnsi="Arial" w:eastAsia="Arial" w:cs="Arial"/>
          <w:b/>
          <w:color w:val="101C38"/>
          <w:sz w:val="48"/>
        </w:rPr>
        <w:t>W5L2 | Osmosis Investigation</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Today’s default cover route is planning and sample-data analysis. A full soak, repeated measurements and graph do not fit inside a six-minute shared-task slot.</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Only record practical completion for pupils who actually carry out the approved practical. Sample data and pre-soaked staff samples are not proof of that completion.</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Solution/sucrose concentration. (Final mass − initial mass) ÷ initial mass × 100. To avoid different amounts of surface solution distorting final mass.</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Final mass compared with initial mass</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It compares the change with the starting value Correct. Dividing by initial mass makes different starting masses more comparable.</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Water: +0.40 g, +10%. 0.4: 0.00 g, 0%. 0.8: −0.40 g, −10%. Use (final − initial) ÷ initial × 100.</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Independent: sucrose concentration. Dependent: percentage change in potato mass. Controls include potato source/dimensions, solution volume, exposure time, temperature and blotting.</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Surface solution adds to final mass and can exaggerate gain or hide loss. Use the same gentle blotting procedure for every cylinder.</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No. Use repeats at each concentration, retain raw results and compare their variation.</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Different cylinder diameters change surface area and the amount of potato tissue, so concentration may not be the only cause of different percentage changes. Use a cork borer and cut equal lengths. Unequal blotting leaves different amounts of solution on the surface, changing the measured final mass; use the same blotting method and time. A negative percentage change means the potato lost mass because net water movement was out of its cells by osmosis.</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Repeats show variation and can reduce random effects in a mean; they do not correct a systematic method error.</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what must stay the same and what the named problem could do to the measured mass before suggesting an improvement.</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W5 slides 8–10 and worksheet results/evaluation task.</w:t>
      </w:r>
    </w:p>
    <w:p>
      <w:pPr>
        <w:pStyle w:val="Title"/>
        <w:pageBreakBefore/>
        <w:widowControl/>
        <w:spacing w:after="100"/>
      </w:pPr>
      <w:r>
        <w:rPr>
          <w:rFonts w:ascii="Arial" w:hAnsi="Arial" w:eastAsia="Arial" w:cs="Arial"/>
          <w:b/>
          <w:color w:val="101C38"/>
          <w:sz w:val="48"/>
        </w:rPr>
        <w:t>W5L3 | Osmosis Data</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Keep the raw data visible. Flag unusual values and investigate. Never delete a value simply because the graph looks tidier without it.</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Between +12% at 0.2 and −8% at 0.6, straight-line interpolation gives 0.44 mol dm⁻³, not the midpoint 0.4.</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Mass loss relative to starting mass. To investigate it and justify a mean decision; unusual does not automatically mean wrong. x: concentration / mol dm⁻³; y: mean percentage change in mass / %.</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Keep it visible and investigate before deciding</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The tested tissue and solution had little or no net water movement under those conditions Accurate and appropriately cautious.</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Means: +20, +12, +2, −8, −20%. Mean mass change decreases as concentration increases.</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Between (0.4,+2) and (0.6,−8): 0.4 + (2 ÷ 10) × 0.2 = 0.44 mol dm⁻³. It is an approximate interpolation.</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Retain and flag it; check labels, raw masses, calculation, timing and blotting, then repeat if feasible. State evidence for inclusion/exclusion rather than deleting automatically.</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(−10 − 8 − 6 + 9) ÷ 4 = −3.75%. It makes the mean less negative and changes the inferred crossing/trend.</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Assuming a straight line between the two means: 0.2 + (12 ÷ 20) × 0.4 = 0.44 mol dm⁻³. This is approximate because the real curve may not be straight and repeats vary. Test extra concentrations around 0.44 mol dm⁻³ with repeats.</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An unusual result can be genuine variation or error; investigate before deciding.</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what the data shows before asking what it means, and require a reason for any exclusion decision.</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W5 percentage-change and evaluation tasks, extended with repeated data and graphing.</w:t>
      </w:r>
    </w:p>
    <w:p>
      <w:pPr>
        <w:pStyle w:val="Title"/>
        <w:pageBreakBefore/>
        <w:widowControl/>
        <w:spacing w:after="100"/>
      </w:pPr>
      <w:r>
        <w:rPr>
          <w:rFonts w:ascii="Arial" w:hAnsi="Arial" w:eastAsia="Arial" w:cs="Arial"/>
          <w:b/>
          <w:color w:val="101C38"/>
          <w:sz w:val="48"/>
        </w:rPr>
        <w:t>W6L1 | Active Transport</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Active transport uses energy released by respiration to move a substance against its concentration gradient through membrane transport proteins.</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Diffusion is random at particle level. The contrast is net movement down a gradient versus energy-dependent movement against it, not “diffusion never moves backwards”.</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Net movement from higher to lower concentration of that substance. Water. Diffusion and osmosis. Either is acceptable for the singular question.</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No — movement against the gradient needs another mechanism</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A substance moved against its concentration gradient and needed energy Correct. Now state that respiration supplies the energy.</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From lower outside to higher inside, against its concentration gradient.</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Active transport; energy released by respiration, using membrane transport proteins.</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Less energy is available, so active uptake is expected to slow or stop. The model’s instant on/off switch simplifies a real cell.</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No. Surface area can support passive and active exchange; gradient and energy evidence distinguish them.</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Nitrate ions move from a lower concentration outside the cell to a higher concentration inside, which is against the concentration gradient. Active transport is therefore required and uses energy supplied by respiration through membrane transport proteins. If respiration is strongly reduced, less energy is available and nitrate uptake will slow or stop.</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Active transport is energy-dependent movement against a gradient, not a fast version of net diffusion.</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the pupil to compare concentrations and trace the movement arrow before naming the process.</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W6 slides 5–8 and worksheet Task 1.</w:t>
      </w:r>
    </w:p>
    <w:p>
      <w:pPr>
        <w:pStyle w:val="Title"/>
        <w:pageBreakBefore/>
        <w:widowControl/>
        <w:spacing w:after="100"/>
      </w:pPr>
      <w:r>
        <w:rPr>
          <w:rFonts w:ascii="Arial" w:hAnsi="Arial" w:eastAsia="Arial" w:cs="Arial"/>
          <w:b/>
          <w:color w:val="101C38"/>
          <w:sz w:val="48"/>
        </w:rPr>
        <w:t>W6L2 | Root Hairs And Gut</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Use two clues: direction relative to the gradient and dependence on respiration. “Root hair” or “gut” alone does not determine every transport mechanism.</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The gut can use more than one transport mechanism. Here the stated against-gradient uptake and energy evidence support active transport.</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To take up mineral ions when their concentration is lower outside than inside. More membrane area for exchange/uptake at the same time. Against-gradient uptake falls when respiration is inhibited, with suitable controls.</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Less respiration means less energy for active transport</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Uptake continues against the gradient and falls when respiration is inhibited Correct: both direction and energy dependence support active transport.</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Both move from lower outside to higher inside; both inward movements are against the gradient.</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Inward uptake continues against the concentration gradient and falls when respiration is inhibited, supporting energy-dependent transport.</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Root-hair extension gives a large contact area for absorption. Gut microvilli increase membrane area for uptake. Many transport proteins provide routes; mitochondria support energy demand.</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Check viability and compare with an appropriate untreated control; a drop in uptake alone is not conclusive about one protein or pathway.</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Glucose is moving from a lower concentration in the intestine to a higher concentration inside the epithelial cell, so diffusion alone cannot explain continued uptake. The fall when respiration is inhibited shows that the process needs cellular energy, supporting active transport. A large folded surface and membrane transport proteins increase opportunities for uptake; mitochondria support the energy demand.</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Add how the feature changes area, transport capacity or energy supply, and how this affects uptake.</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whether concentration evidence alone is enough, then prompt for a second clue about energy or respiration.</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W6 slides 6–9 and root-hair explanation task.</w:t>
      </w:r>
    </w:p>
    <w:p>
      <w:pPr>
        <w:pStyle w:val="Title"/>
        <w:pageBreakBefore/>
        <w:widowControl/>
        <w:spacing w:after="100"/>
      </w:pPr>
      <w:r>
        <w:rPr>
          <w:rFonts w:ascii="Arial" w:hAnsi="Arial" w:eastAsia="Arial" w:cs="Arial"/>
          <w:b/>
          <w:color w:val="101C38"/>
          <w:sz w:val="48"/>
        </w:rPr>
        <w:t>W6L3 | Compare Transport</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Read the evidence before naming the process. Some statements belong to more than one process; some scenarios do not contain enough information.</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“Water only” points to osmosis, but the membrane and relative solutions still matter. Movement through a membrane alone does not prove active transport.</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Osmosis, through a partially permeable membrane. Active transport, using cellular energy. Diffusion and osmosis need no energy supplied by respiration.</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The moving substance is water and the membrane is partially permeable</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Both can move substances across membranes, whereas only active transport can move against a concentration gradient using cellular energy. Correct comparison using both/whereas/only.</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Diffusion: net oxygen movement down its concentration gradient.</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Osmosis: net water movement through a partially permeable membrane from more dilute to more concentrated.</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Active transport: against-gradient movement with cellular energy.</w:t>
      </w:r>
    </w:p>
    <w:p>
      <w:pPr>
        <w:widowControl/>
        <w:spacing w:after="100" w:line="269" w:lineRule="auto"/>
      </w:pPr>
      <w:r>
        <w:rPr>
          <w:rFonts w:ascii="Arial" w:hAnsi="Arial" w:eastAsia="Arial" w:cs="Arial"/>
          <w:b/>
          <w:color w:val="26324A"/>
          <w:sz w:val="21"/>
        </w:rPr>
        <w:t xml:space="preserve">4. </w:t>
      </w:r>
      <w:r>
        <w:rPr>
          <w:rFonts w:ascii="Arial" w:hAnsi="Arial" w:eastAsia="Arial" w:cs="Arial"/>
          <w:color w:val="26324A"/>
          <w:sz w:val="21"/>
        </w:rPr>
        <w:t>Insufficient evidence: need substance, gradient direction and energy evidence.</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Both move substances and may occur across cell membranes. Diffusion is net movement down a gradient without energy supplied by respiration; active transport moves against a gradient using that energy.</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Both diffusion and active transport can move substances across cell membranes, whereas diffusion is net movement down a concentration gradient and active transport can move against it using cellular energy. Oxygen enters blood by diffusion down its concentration gradient. Water enters the root hair cell by osmosis through a partially permeable membrane. Mineral ions moving against their concentration gradient require active transport and energy from respiration.</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Among these three processes, only active transport uses cellular energy to move a substance against its gradient.</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for the deciding clue before accepting a process label; then ask for one linked comparison.</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W6 missing sort cards, comparison table and exam-style comparison.</w:t>
      </w:r>
    </w:p>
    <w:p>
      <w:pPr>
        <w:pStyle w:val="Title"/>
        <w:pageBreakBefore/>
        <w:widowControl/>
        <w:spacing w:after="100"/>
      </w:pPr>
      <w:r>
        <w:rPr>
          <w:rFonts w:ascii="Arial" w:hAnsi="Arial" w:eastAsia="Arial" w:cs="Arial"/>
          <w:b/>
          <w:color w:val="101C38"/>
          <w:sz w:val="48"/>
        </w:rPr>
        <w:t>W7L1 | Review</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This reviews cells, microscopy and transport taught so far. It is not a claim that every part of GCSE Topic 1, including enzymes, has been completed.</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Do not turn confidence colours into public rankings. Ask for a piece of work or a corrected explanation to support a review choice.</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M = I ÷ A. Osmosis: water through a partially permeable membrane without energy from respiration. Active transport: against-gradient movement using that energy. Solution/sucrose concentration.</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All three are valid links</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A thinner alveolar wall shortens diffusion distance Correct causal link.</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Accept the accurate feature–function pair from the table; e.g. beating cilia move mucus and trapped particles.</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Magnification increases apparent size. Resolution is seeing nearby points separately; enlargement does not necessarily improve it.</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Accept accurate causal links: matching units for magnification; mass change as osmosis evidence; respiration supplies energy for active transport.</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Pupil-owned choice supported by an actual uncertainty, correction or successful answer; no fixed choice.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Magnification calculations require image and actual size in matching units, often millimetres and micrometres. Diffusion is net movement down a concentration gradient, while osmosis is net water movement through a partially permeable membrane. Potato mass percentage change provides evidence about osmosis when control variables are kept constant. Active transport can move substances against a gradient using energy from respiration. An anomalous result should remain visible and be investigated before deciding whether to include it in a mean.</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Accept an evidence-backed learning choice. The adult records the next action, not a public grade.</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for the reason connecting two ideas; do not turn the map into rapid-fire recall or a public score.</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W7 slides 3–6 and review worksheet; specialised cells are taught before being assessed.</w:t>
      </w:r>
    </w:p>
    <w:p>
      <w:pPr>
        <w:pStyle w:val="Title"/>
        <w:pageBreakBefore/>
        <w:widowControl/>
        <w:spacing w:after="100"/>
      </w:pPr>
      <w:r>
        <w:rPr>
          <w:rFonts w:ascii="Arial" w:hAnsi="Arial" w:eastAsia="Arial" w:cs="Arial"/>
          <w:b/>
          <w:color w:val="101C38"/>
          <w:sz w:val="48"/>
        </w:rPr>
        <w:t>W7L2 | Command Words</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The command word tells you the kind of answer. Marks depend on the question and its mark scheme, not magic words such as “whereas”.</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“Evaluate” is more than listing improvements: weigh relevant evidence or method strengths/limits and make a supported judgement where asked.</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State the pattern/features, using relevant values. A scientific cause/reason linked to the observed consequence. For a method limitation: issue, effect on evidence, justified improvement; weigh strengths/limits if asked.</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State</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Unequal cylinder diameter changes surface area, so concentration is not the only cause; use equal diameters. Correct weakness → consequence → improvement chain.</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As concentration increases from 0.2 to 0.6, mean mass change decreases from +12% to −8%.</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A thin wall gives a short diffusion distance, so oxygen can diffuse into blood more quickly down its gradient.</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30 mm = 30,000 µm; M = I ÷ A = 30,000 ÷ 75 = ×400.</w:t>
      </w:r>
    </w:p>
    <w:p>
      <w:pPr>
        <w:widowControl/>
        <w:spacing w:after="100" w:line="269" w:lineRule="auto"/>
      </w:pPr>
      <w:r>
        <w:rPr>
          <w:rFonts w:ascii="Arial" w:hAnsi="Arial" w:eastAsia="Arial" w:cs="Arial"/>
          <w:b/>
          <w:color w:val="26324A"/>
          <w:sz w:val="21"/>
        </w:rPr>
        <w:t xml:space="preserve">4. </w:t>
      </w:r>
      <w:r>
        <w:rPr>
          <w:rFonts w:ascii="Arial" w:hAnsi="Arial" w:eastAsia="Arial" w:cs="Arial"/>
          <w:color w:val="26324A"/>
          <w:sz w:val="21"/>
        </w:rPr>
        <w:t>Repeat each concentration using the same controlled method to measure spread and calculate a mean. Repeats do not fix inconsistent blotting, so standardise that too.</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E.g. both can move solutes across membranes, but diffusion is down a gradient and active transport can be against it using cellular energy.</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Describe: percentage change becomes less positive and then negative as concentration increases. Explain: a thin alveolar wall shortens diffusion distance, so oxygen reaches blood faster. Compare: both processes can move substances across membranes, whereas only active transport can move against a gradient using cellular energy. Evaluate: inconsistent blotting leaves different surface solution masses; standardise the blotting method and time. Calculate: 30 mm = 30,000 µm; magnification = 30,000 ÷ 75 = ×400.</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Explain usually needs a scientific cause linked to a consequence; the actual wording still controls the answer.</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which command word sets the answer shape before prompting Biology content.</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W7 test/review preparation, expanded into a full Explore lesson.</w:t>
      </w:r>
    </w:p>
    <w:p>
      <w:pPr>
        <w:pStyle w:val="Title"/>
        <w:pageBreakBefore/>
        <w:widowControl/>
        <w:spacing w:after="100"/>
      </w:pPr>
      <w:r>
        <w:rPr>
          <w:rFonts w:ascii="Arial" w:hAnsi="Arial" w:eastAsia="Arial" w:cs="Arial"/>
          <w:b/>
          <w:color w:val="101C38"/>
          <w:sz w:val="48"/>
        </w:rPr>
        <w:t>W7L3 | Assessment And Response</w:t>
      </w:r>
    </w:p>
    <w:p>
      <w:pPr>
        <w:pStyle w:val="Subtitle"/>
        <w:widowControl/>
        <w:spacing w:after="240"/>
      </w:pPr>
      <w:r>
        <w:rPr>
          <w:rFonts w:ascii="Arial" w:hAnsi="Arial" w:eastAsia="Arial" w:cs="Arial"/>
          <w:i w:val="0"/>
          <w:color w:val="7A5C9E"/>
          <w:sz w:val="21"/>
        </w:rPr>
        <w:t>Staff only | answers and response guidance</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Core explanation: </w:t>
      </w:r>
      <w:r>
        <w:rPr>
          <w:rFonts w:ascii="Arial" w:hAnsi="Arial" w:eastAsia="Arial" w:cs="Arial"/>
          <w:color w:val="26324A"/>
          <w:sz w:val="21"/>
        </w:rPr>
        <w:t>This is original low-stakes classroom assessment, not an official Pearson paper and not a grade predictor. Use agreed access arrangements and keep results private.</w:t>
      </w:r>
    </w:p>
    <w:p>
      <w:pPr>
        <w:widowControl/>
        <w:spacing w:after="160" w:line="269" w:lineRule="auto" w:before="100"/>
        <w:shd w:fill="FFF6E9"/>
      </w:pPr>
      <w:r>
        <w:rPr>
          <w:rFonts w:ascii="Arial" w:hAnsi="Arial" w:eastAsia="Arial" w:cs="Arial"/>
          <w:b/>
          <w:color w:val="26324A"/>
          <w:sz w:val="21"/>
        </w:rPr>
        <w:t xml:space="preserve">Misconception: </w:t>
      </w:r>
      <w:r>
        <w:rPr>
          <w:rFonts w:ascii="Arial" w:hAnsi="Arial" w:eastAsia="Arial" w:cs="Arial"/>
          <w:color w:val="26324A"/>
          <w:sz w:val="21"/>
        </w:rPr>
        <w:t>A 25-minute paper cannot fit inside a 10-minute Independent Task. The main lesson uses a selected short set; the complete paper is a separately scheduled option.</w:t>
      </w:r>
    </w:p>
    <w:p>
      <w:pPr>
        <w:widowControl/>
        <w:spacing w:after="100" w:line="269" w:lineRule="auto"/>
      </w:pPr>
      <w:r>
        <w:rPr>
          <w:rFonts w:ascii="Arial" w:hAnsi="Arial" w:eastAsia="Arial" w:cs="Arial"/>
          <w:b/>
          <w:color w:val="26324A"/>
          <w:sz w:val="21"/>
        </w:rPr>
        <w:t xml:space="preserve">Retrieval: </w:t>
      </w:r>
      <w:r>
        <w:rPr>
          <w:rFonts w:ascii="Arial" w:hAnsi="Arial" w:eastAsia="Arial" w:cs="Arial"/>
          <w:color w:val="26324A"/>
          <w:sz w:val="21"/>
        </w:rPr>
        <w:t>Make a genuine first attempt using agreed access arrangements. mm to µm: multiply by 1000; reverse: divide by 1000. Name the method detail, its effect on the result and a justified improvement.</w:t>
      </w:r>
    </w:p>
    <w:p>
      <w:pPr>
        <w:widowControl/>
        <w:spacing w:after="100" w:line="269" w:lineRule="auto"/>
      </w:pPr>
      <w:r>
        <w:rPr>
          <w:rFonts w:ascii="Arial" w:hAnsi="Arial" w:eastAsia="Arial" w:cs="Arial"/>
          <w:b/>
          <w:color w:val="26324A"/>
          <w:sz w:val="21"/>
        </w:rPr>
        <w:t xml:space="preserve">Starter: </w:t>
      </w:r>
      <w:r>
        <w:rPr>
          <w:rFonts w:ascii="Arial" w:hAnsi="Arial" w:eastAsia="Arial" w:cs="Arial"/>
          <w:color w:val="26324A"/>
          <w:sz w:val="21"/>
        </w:rPr>
        <w:t>Any mode can be valid when the reason fits the learning need</w:t>
      </w:r>
    </w:p>
    <w:p>
      <w:pPr>
        <w:widowControl/>
        <w:spacing w:after="100" w:line="269" w:lineRule="auto"/>
      </w:pPr>
      <w:r>
        <w:rPr>
          <w:rFonts w:ascii="Arial" w:hAnsi="Arial" w:eastAsia="Arial" w:cs="Arial"/>
          <w:b/>
          <w:color w:val="26324A"/>
          <w:sz w:val="21"/>
        </w:rPr>
        <w:t xml:space="preserve">We Do: </w:t>
      </w:r>
      <w:r>
        <w:rPr>
          <w:rFonts w:ascii="Arial" w:hAnsi="Arial" w:eastAsia="Arial" w:cs="Arial"/>
          <w:color w:val="26324A"/>
          <w:sz w:val="21"/>
        </w:rPr>
        <w:t>Open the answer-shape checklist, identify one missing link and edit the same answer Correct improvement cycle.</w:t>
      </w:r>
    </w:p>
    <w:p>
      <w:pPr>
        <w:pStyle w:val="Heading2"/>
        <w:keepNext/>
        <w:widowControl/>
        <w:spacing w:before="160" w:after="100"/>
      </w:pPr>
      <w:r>
        <w:rPr>
          <w:rFonts w:ascii="Arial" w:hAnsi="Arial" w:eastAsia="Arial" w:cs="Arial"/>
          <w:b/>
          <w:color w:val="7A5C9E"/>
          <w:sz w:val="26"/>
        </w:rPr>
        <w:t>Worksheet answers</w:t>
      </w:r>
    </w:p>
    <w:p>
      <w:pPr>
        <w:widowControl/>
        <w:spacing w:after="100" w:line="269" w:lineRule="auto"/>
      </w:pPr>
      <w:r>
        <w:rPr>
          <w:rFonts w:ascii="Arial" w:hAnsi="Arial" w:eastAsia="Arial" w:cs="Arial"/>
          <w:b/>
          <w:color w:val="26324A"/>
          <w:sz w:val="21"/>
        </w:rPr>
        <w:t xml:space="preserve">1. </w:t>
      </w:r>
      <w:r>
        <w:rPr>
          <w:rFonts w:ascii="Arial" w:hAnsi="Arial" w:eastAsia="Arial" w:cs="Arial"/>
          <w:color w:val="26324A"/>
          <w:sz w:val="21"/>
        </w:rPr>
        <w:t>Pupil selects one genuine attempt; do not substitute a copied model.</w:t>
      </w:r>
    </w:p>
    <w:p>
      <w:pPr>
        <w:widowControl/>
        <w:spacing w:after="100" w:line="269" w:lineRule="auto"/>
      </w:pPr>
      <w:r>
        <w:rPr>
          <w:rFonts w:ascii="Arial" w:hAnsi="Arial" w:eastAsia="Arial" w:cs="Arial"/>
          <w:b/>
          <w:color w:val="26324A"/>
          <w:sz w:val="21"/>
        </w:rPr>
        <w:t xml:space="preserve">2. </w:t>
      </w:r>
      <w:r>
        <w:rPr>
          <w:rFonts w:ascii="Arial" w:hAnsi="Arial" w:eastAsia="Arial" w:cs="Arial"/>
          <w:color w:val="26324A"/>
          <w:sz w:val="21"/>
        </w:rPr>
        <w:t>Accept an accurate change, e.g. adding the membrane and water direction to an osmosis explanation.</w:t>
      </w:r>
    </w:p>
    <w:p>
      <w:pPr>
        <w:widowControl/>
        <w:spacing w:after="100" w:line="269" w:lineRule="auto"/>
      </w:pPr>
      <w:r>
        <w:rPr>
          <w:rFonts w:ascii="Arial" w:hAnsi="Arial" w:eastAsia="Arial" w:cs="Arial"/>
          <w:b/>
          <w:color w:val="26324A"/>
          <w:sz w:val="21"/>
        </w:rPr>
        <w:t xml:space="preserve">3. </w:t>
      </w:r>
      <w:r>
        <w:rPr>
          <w:rFonts w:ascii="Arial" w:hAnsi="Arial" w:eastAsia="Arial" w:cs="Arial"/>
          <w:color w:val="26324A"/>
          <w:sz w:val="21"/>
        </w:rPr>
        <w:t>Accept a concrete task/reteach/retrieval choice, received by the adult and recorded without claiming it has already happened.</w:t>
      </w:r>
    </w:p>
    <w:p>
      <w:pPr>
        <w:widowControl/>
        <w:spacing w:after="100" w:line="269" w:lineRule="auto"/>
      </w:pPr>
      <w:r>
        <w:rPr>
          <w:rFonts w:ascii="Arial" w:hAnsi="Arial" w:eastAsia="Arial" w:cs="Arial"/>
          <w:b/>
          <w:color w:val="26324A"/>
          <w:sz w:val="21"/>
        </w:rPr>
        <w:t xml:space="preserve">Transfer: </w:t>
      </w:r>
      <w:r>
        <w:rPr>
          <w:rFonts w:ascii="Arial" w:hAnsi="Arial" w:eastAsia="Arial" w:cs="Arial"/>
          <w:color w:val="26324A"/>
          <w:sz w:val="21"/>
        </w:rPr>
        <w:t>The relationships can be wrong, e.g. a sentence may mention a gradient while reversing its direction. A keyword check is not marking.</w:t>
      </w:r>
    </w:p>
    <w:p>
      <w:pPr>
        <w:widowControl/>
        <w:spacing w:after="180" w:line="269" w:lineRule="auto" w:before="100"/>
        <w:shd w:fill="F3EFF7"/>
        <w:pBdr>
          <w:left w:val="single" w:sz="22" w:space="7" w:color="7A5C9E"/>
        </w:pBdr>
      </w:pPr>
      <w:r>
        <w:rPr>
          <w:rFonts w:ascii="Arial" w:hAnsi="Arial" w:eastAsia="Arial" w:cs="Arial"/>
          <w:b/>
          <w:color w:val="26324A"/>
          <w:sz w:val="21"/>
        </w:rPr>
        <w:t xml:space="preserve">Independent model: </w:t>
      </w:r>
      <w:r>
        <w:rPr>
          <w:rFonts w:ascii="Arial" w:hAnsi="Arial" w:eastAsia="Arial" w:cs="Arial"/>
          <w:color w:val="26324A"/>
          <w:sz w:val="21"/>
        </w:rPr>
        <w:t>Use Q2, Q3 and Q5 of the marking guide below. The reflection prompts are not replacement assessment questions.</w:t>
      </w:r>
    </w:p>
    <w:p>
      <w:pPr>
        <w:widowControl/>
        <w:spacing w:after="100" w:line="269" w:lineRule="auto"/>
      </w:pPr>
      <w:r>
        <w:rPr>
          <w:rFonts w:ascii="Arial" w:hAnsi="Arial" w:eastAsia="Arial" w:cs="Arial"/>
          <w:b/>
          <w:color w:val="26324A"/>
          <w:sz w:val="21"/>
        </w:rPr>
        <w:t xml:space="preserve">Exit: </w:t>
      </w:r>
      <w:r>
        <w:rPr>
          <w:rFonts w:ascii="Arial" w:hAnsi="Arial" w:eastAsia="Arial" w:cs="Arial"/>
          <w:color w:val="26324A"/>
          <w:sz w:val="21"/>
        </w:rPr>
        <w:t>Pupil identifies an actual correction and a specific next learning action.</w:t>
      </w:r>
    </w:p>
    <w:p>
      <w:pPr>
        <w:widowControl/>
        <w:spacing w:after="100" w:line="269" w:lineRule="auto"/>
      </w:pPr>
      <w:r>
        <w:rPr>
          <w:rFonts w:ascii="Arial" w:hAnsi="Arial" w:eastAsia="Arial" w:cs="Arial"/>
          <w:b/>
          <w:color w:val="26324A"/>
          <w:sz w:val="21"/>
        </w:rPr>
        <w:t xml:space="preserve">Support: </w:t>
      </w:r>
      <w:r>
        <w:rPr>
          <w:rFonts w:ascii="Arial" w:hAnsi="Arial" w:eastAsia="Arial" w:cs="Arial"/>
          <w:color w:val="26324A"/>
          <w:sz w:val="21"/>
        </w:rPr>
        <w:t>Ask which command word and answer-shape element is missing; preserve authorship and avoid dictating the final response.</w:t>
      </w:r>
    </w:p>
    <w:p>
      <w:pPr>
        <w:pStyle w:val="Caption"/>
        <w:widowControl/>
        <w:spacing w:after="120"/>
      </w:pPr>
      <w:r>
        <w:rPr>
          <w:rFonts w:ascii="Arial" w:hAnsi="Arial" w:eastAsia="Arial" w:cs="Arial"/>
          <w:b/>
          <w:color w:val="526078"/>
          <w:sz w:val="18"/>
        </w:rPr>
        <w:t xml:space="preserve">Source adaptation: </w:t>
      </w:r>
      <w:r>
        <w:rPr>
          <w:rFonts w:ascii="Arial" w:hAnsi="Arial" w:eastAsia="Arial" w:cs="Arial"/>
          <w:color w:val="526078"/>
          <w:sz w:val="18"/>
        </w:rPr>
        <w:t>W7 slides 7–10 and reflection worksheet; the missing assessment and marking guidance are newly written.</w:t>
      </w:r>
    </w:p>
    <w:p>
      <w:pPr>
        <w:pStyle w:val="Title"/>
        <w:pageBreakBefore/>
        <w:widowControl/>
        <w:spacing w:after="100"/>
      </w:pPr>
      <w:r>
        <w:rPr>
          <w:rFonts w:ascii="Arial" w:hAnsi="Arial" w:eastAsia="Arial" w:cs="Arial"/>
          <w:b/>
          <w:color w:val="101C38"/>
          <w:sz w:val="48"/>
        </w:rPr>
        <w:t>Assessment mark scheme</w:t>
      </w:r>
    </w:p>
    <w:p>
      <w:pPr>
        <w:pStyle w:val="Subtitle"/>
        <w:widowControl/>
        <w:spacing w:after="240"/>
      </w:pPr>
      <w:r>
        <w:rPr>
          <w:rFonts w:ascii="Arial" w:hAnsi="Arial" w:eastAsia="Arial" w:cs="Arial"/>
          <w:i w:val="0"/>
          <w:color w:val="7A5C9E"/>
          <w:sz w:val="21"/>
        </w:rPr>
        <w:t>Staff only | original classroom rubric | 24 marks overall</w:t>
      </w:r>
    </w:p>
    <w:p>
      <w:pPr>
        <w:widowControl/>
        <w:spacing w:after="100" w:line="269" w:lineRule="auto"/>
      </w:pPr>
      <w:r>
        <w:rPr>
          <w:rFonts w:ascii="Arial" w:hAnsi="Arial" w:eastAsia="Arial" w:cs="Arial"/>
          <w:color w:val="26324A"/>
          <w:sz w:val="21"/>
        </w:rPr>
        <w:t>Credit scientifically equivalent wording. Use the point-specific guidance below; key words alone do not establish a correct relationship. Do not penalise the same carried-forward arithmetic error twice. No grade boundaries are assigned.</w:t>
      </w:r>
    </w:p>
    <w:p>
      <w:pPr>
        <w:pStyle w:val="Heading2"/>
        <w:keepNext/>
        <w:widowControl/>
        <w:spacing w:before="160" w:after="100"/>
      </w:pPr>
      <w:r>
        <w:rPr>
          <w:rFonts w:ascii="Arial" w:hAnsi="Arial" w:eastAsia="Arial" w:cs="Arial"/>
          <w:b/>
          <w:color w:val="7A5C9E"/>
          <w:sz w:val="26"/>
        </w:rPr>
        <w:t>1. Cells and their jobs [4 marks]</w:t>
      </w:r>
    </w:p>
    <w:p>
      <w:pPr>
        <w:widowControl/>
        <w:spacing w:after="100" w:line="269" w:lineRule="auto"/>
      </w:pPr>
      <w:r>
        <w:rPr>
          <w:rFonts w:ascii="Arial" w:hAnsi="Arial" w:eastAsia="Arial" w:cs="Arial"/>
          <w:color w:val="26324A"/>
          <w:sz w:val="21"/>
        </w:rPr>
        <w:t>Cell membrane. [1]</w:t>
      </w:r>
    </w:p>
    <w:p>
      <w:pPr>
        <w:widowControl/>
        <w:spacing w:after="100" w:line="269" w:lineRule="auto"/>
      </w:pPr>
      <w:r>
        <w:rPr>
          <w:rFonts w:ascii="Arial" w:hAnsi="Arial" w:eastAsia="Arial" w:cs="Arial"/>
          <w:color w:val="26324A"/>
          <w:sz w:val="21"/>
        </w:rPr>
        <w:t>Contains genetic material/DNA and controls cell activities. Accept either appropriate statement for [1].</w:t>
      </w:r>
    </w:p>
    <w:p>
      <w:pPr>
        <w:widowControl/>
        <w:spacing w:after="100" w:line="269" w:lineRule="auto"/>
      </w:pPr>
      <w:r>
        <w:rPr>
          <w:rFonts w:ascii="Arial" w:hAnsi="Arial" w:eastAsia="Arial" w:cs="Arial"/>
          <w:color w:val="26324A"/>
          <w:sz w:val="21"/>
        </w:rPr>
        <w:t>Tail enables movement/swimming [1], helping it reach the egg for fertilisation [1].</w:t>
      </w:r>
    </w:p>
    <w:p>
      <w:pPr>
        <w:pStyle w:val="Heading2"/>
        <w:keepNext/>
        <w:widowControl/>
        <w:spacing w:before="160" w:after="100"/>
      </w:pPr>
      <w:r>
        <w:rPr>
          <w:rFonts w:ascii="Arial" w:hAnsi="Arial" w:eastAsia="Arial" w:cs="Arial"/>
          <w:b/>
          <w:color w:val="7A5C9E"/>
          <w:sz w:val="26"/>
        </w:rPr>
        <w:t>2. Magnification [4 marks]</w:t>
      </w:r>
    </w:p>
    <w:p>
      <w:pPr>
        <w:widowControl/>
        <w:spacing w:after="100" w:line="269" w:lineRule="auto"/>
      </w:pPr>
      <w:r>
        <w:rPr>
          <w:rFonts w:ascii="Arial" w:hAnsi="Arial" w:eastAsia="Arial" w:cs="Arial"/>
          <w:color w:val="26324A"/>
          <w:sz w:val="21"/>
        </w:rPr>
        <w:t>M = I ÷ A [1]; 25 mm = 25,000 µm or 50 µm = 0.05 mm [1]; correct substitution/division [1]; ×500 [1]. Correct unsupported ×500: 1/4. Do not double penalise a consistent carried-forward arithmetic error.</w:t>
      </w:r>
    </w:p>
    <w:p>
      <w:pPr>
        <w:pStyle w:val="Heading2"/>
        <w:keepNext/>
        <w:widowControl/>
        <w:spacing w:before="160" w:after="100"/>
      </w:pPr>
      <w:r>
        <w:rPr>
          <w:rFonts w:ascii="Arial" w:hAnsi="Arial" w:eastAsia="Arial" w:cs="Arial"/>
          <w:b/>
          <w:color w:val="7A5C9E"/>
          <w:sz w:val="26"/>
        </w:rPr>
        <w:t>3. Diffusion [3 marks]</w:t>
      </w:r>
    </w:p>
    <w:p>
      <w:pPr>
        <w:widowControl/>
        <w:spacing w:after="100" w:line="269" w:lineRule="auto"/>
      </w:pPr>
      <w:r>
        <w:rPr>
          <w:rFonts w:ascii="Arial" w:hAnsi="Arial" w:eastAsia="Arial" w:cs="Arial"/>
          <w:color w:val="26324A"/>
          <w:sz w:val="21"/>
        </w:rPr>
        <w:t>Particles move randomly/both ways [1]; net movement is from higher to lower oxygen concentration [1]; down a concentration gradient [1]. Credit the direction and gradient separately only when both ideas are clear; no energy from respiration is needed but that is not an extra mark here.</w:t>
      </w:r>
    </w:p>
    <w:p>
      <w:pPr>
        <w:pStyle w:val="Title"/>
        <w:pageBreakBefore/>
        <w:widowControl/>
        <w:spacing w:after="100"/>
      </w:pPr>
      <w:r>
        <w:rPr>
          <w:rFonts w:ascii="Arial" w:hAnsi="Arial" w:eastAsia="Arial" w:cs="Arial"/>
          <w:b/>
          <w:color w:val="101C38"/>
          <w:sz w:val="48"/>
        </w:rPr>
        <w:t>Assessment mark scheme</w:t>
      </w:r>
    </w:p>
    <w:p>
      <w:pPr>
        <w:pStyle w:val="Subtitle"/>
        <w:widowControl/>
        <w:spacing w:after="240"/>
      </w:pPr>
      <w:r>
        <w:rPr>
          <w:rFonts w:ascii="Arial" w:hAnsi="Arial" w:eastAsia="Arial" w:cs="Arial"/>
          <w:i w:val="0"/>
          <w:color w:val="7A5C9E"/>
          <w:sz w:val="21"/>
        </w:rPr>
        <w:t>Staff only | original classroom rubric | 24 marks overall</w:t>
      </w:r>
    </w:p>
    <w:p>
      <w:pPr>
        <w:widowControl/>
        <w:spacing w:after="100" w:line="269" w:lineRule="auto"/>
      </w:pPr>
      <w:r>
        <w:rPr>
          <w:rFonts w:ascii="Arial" w:hAnsi="Arial" w:eastAsia="Arial" w:cs="Arial"/>
          <w:color w:val="26324A"/>
          <w:sz w:val="21"/>
        </w:rPr>
        <w:t>Credit scientifically equivalent wording. Use the point-specific guidance below; key words alone do not establish a correct relationship. Do not penalise the same carried-forward arithmetic error twice. No grade boundaries are assigned.</w:t>
      </w:r>
    </w:p>
    <w:p>
      <w:pPr>
        <w:pStyle w:val="Heading2"/>
        <w:keepNext/>
        <w:widowControl/>
        <w:spacing w:before="160" w:after="100"/>
      </w:pPr>
      <w:r>
        <w:rPr>
          <w:rFonts w:ascii="Arial" w:hAnsi="Arial" w:eastAsia="Arial" w:cs="Arial"/>
          <w:b/>
          <w:color w:val="7A5C9E"/>
          <w:sz w:val="26"/>
        </w:rPr>
        <w:t>4. Osmosis data [5 marks]</w:t>
      </w:r>
    </w:p>
    <w:p>
      <w:pPr>
        <w:widowControl/>
        <w:spacing w:after="100" w:line="269" w:lineRule="auto"/>
      </w:pPr>
      <w:r>
        <w:rPr>
          <w:rFonts w:ascii="Arial" w:hAnsi="Arial" w:eastAsia="Arial" w:cs="Arial"/>
          <w:color w:val="26324A"/>
          <w:sz w:val="21"/>
        </w:rPr>
        <w:t>(3.60 − 4.00) ÷ 4.00 × 100 [1]; −10% [1]. The negative sign matters. A correct unsupported −10% gains the answer mark only.</w:t>
      </w:r>
    </w:p>
    <w:p>
      <w:pPr>
        <w:widowControl/>
        <w:spacing w:after="100" w:line="269" w:lineRule="auto"/>
      </w:pPr>
      <w:r>
        <w:rPr>
          <w:rFonts w:ascii="Arial" w:hAnsi="Arial" w:eastAsia="Arial" w:cs="Arial"/>
          <w:color w:val="26324A"/>
          <w:sz w:val="21"/>
        </w:rPr>
        <w:t>Net water moves out of the cells [1]; through partially permeable cell membranes [1]; by osmosis from the more dilute cell solution to the more concentrated surroundings [1].</w:t>
      </w:r>
    </w:p>
    <w:p>
      <w:pPr>
        <w:pStyle w:val="Heading2"/>
        <w:keepNext/>
        <w:widowControl/>
        <w:spacing w:before="160" w:after="100"/>
      </w:pPr>
      <w:r>
        <w:rPr>
          <w:rFonts w:ascii="Arial" w:hAnsi="Arial" w:eastAsia="Arial" w:cs="Arial"/>
          <w:b/>
          <w:color w:val="7A5C9E"/>
          <w:sz w:val="26"/>
        </w:rPr>
        <w:t>5. Active transport [4 marks]</w:t>
      </w:r>
    </w:p>
    <w:p>
      <w:pPr>
        <w:widowControl/>
        <w:spacing w:after="100" w:line="269" w:lineRule="auto"/>
      </w:pPr>
      <w:r>
        <w:rPr>
          <w:rFonts w:ascii="Arial" w:hAnsi="Arial" w:eastAsia="Arial" w:cs="Arial"/>
          <w:color w:val="26324A"/>
          <w:sz w:val="21"/>
        </w:rPr>
        <w:t>Active transport [1]; ions move against the concentration gradient, lower outside to higher inside [1]; membrane transport/carrier proteins [1]; energy released by respiration [1].</w:t>
      </w:r>
    </w:p>
    <w:p>
      <w:pPr>
        <w:pStyle w:val="Heading2"/>
        <w:keepNext/>
        <w:widowControl/>
        <w:spacing w:before="160" w:after="100"/>
      </w:pPr>
      <w:r>
        <w:rPr>
          <w:rFonts w:ascii="Arial" w:hAnsi="Arial" w:eastAsia="Arial" w:cs="Arial"/>
          <w:b/>
          <w:color w:val="7A5C9E"/>
          <w:sz w:val="26"/>
        </w:rPr>
        <w:t>6. Evaluate a method [4 marks]</w:t>
      </w:r>
    </w:p>
    <w:p>
      <w:pPr>
        <w:widowControl/>
        <w:spacing w:after="100" w:line="269" w:lineRule="auto"/>
      </w:pPr>
      <w:r>
        <w:rPr>
          <w:rFonts w:ascii="Arial" w:hAnsi="Arial" w:eastAsia="Arial" w:cs="Arial"/>
          <w:color w:val="26324A"/>
          <w:sz w:val="21"/>
        </w:rPr>
        <w:t>Use the same gentle blotting method on every cylinder [1] so varying surface solution does not distort final mass [1]. Use repeats at each concentration [1] to reveal spread and support a mean/reduce random effects [1]. Repeats do not remove a systematic blotting error.</w:t>
      </w:r>
    </w:p>
    <w:sectPr w:rsidR="00FC693F" w:rsidRPr="0006063C" w:rsidSect="00034616">
      <w:headerReference w:type="default" r:id="rId9"/>
      <w:footerReference w:type="default" r:id="rId10"/>
      <w:pgSz w:w="11906" w:h="16838"/>
      <w:pgMar w:top="1080" w:right="960" w:bottom="960" w:left="960" w:header="460" w:footer="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eastAsia="Arial" w:cs="Arial"/>
        <w:color w:val="526078"/>
        <w:sz w:val="16"/>
      </w:rPr>
      <w:t>LAUNCH  •  AUTUMN 1  •  WEEKS 3–7</w:t>
    </w:r>
    <w:r>
      <w:rPr>
        <w:rFonts w:ascii="Arial" w:hAnsi="Arial" w:eastAsia="Arial" w:cs="Arial"/>
        <w:color w:val="526078"/>
        <w:sz w:val="16"/>
      </w:rPr>
      <w:t xml:space="preserve">        STAFF RESOURCE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eastAsia="Arial" w:cs="Arial"/>
        <w:b/>
        <w:color w:val="7A5C9E"/>
        <w:sz w:val="18"/>
      </w:rPr>
      <w:t>MADE BY MATT   /   LAUNCH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1">
    <w:lvl w:ilvl="0">
      <w:start w:val="1"/>
      <w:numFmt w:val="bullet"/>
      <w:lvlText w:val="•"/>
      <w:lvlJc w:val="left"/>
      <w:pPr>
        <w:ind w:left="540" w:hanging="270"/>
        <w:tabs>
          <w:tab w:val="num" w:pos="540"/>
        </w:tabs>
        <w:spacing w:before="0" w:after="80" w:line="300" w:lineRule="auto"/>
      </w:pPr>
    </w:lvl>
  </w:abstractNum>
  <w:num w:numId="91">
    <w:abstractNumId w:val="91"/>
  </w:num>
  <w:abstractNum w:abstractNumId="92">
    <w:lvl w:ilvl="0">
      <w:start w:val="1"/>
      <w:numFmt w:val="decimal"/>
      <w:lvlText w:val="%1."/>
      <w:lvlJc w:val="left"/>
      <w:pPr>
        <w:ind w:left="540" w:hanging="270"/>
        <w:tabs>
          <w:tab w:val="num" w:pos="540"/>
        </w:tabs>
        <w:spacing w:before="0" w:after="80" w:line="300" w:lineRule="auto"/>
      </w:pPr>
    </w:lvl>
  </w:abstractNum>
  <w:num w:numId="92">
    <w:abstractNumId w:val="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64" w:lineRule="auto"/>
    </w:pPr>
    <w:rPr>
      <w:rFonts w:ascii="Arial" w:hAnsi="Arial"/>
      <w:b w:val="0"/>
      <w:i w:val="0"/>
      <w:color w:val="26324A"/>
      <w:sz w:val="21"/>
    </w:rPr>
  </w:style>
  <w:style w:type="paragraph" w:styleId="Header">
    <w:name w:val="header"/>
    <w:basedOn w:val="Normal"/>
    <w:link w:val="HeaderChar"/>
    <w:uiPriority w:val="99"/>
    <w:unhideWhenUsed/>
    <w:rsid w:val="00E618BF"/>
    <w:pPr>
      <w:widowControl/>
      <w:tabs>
        <w:tab w:val="center" w:pos="4680"/>
        <w:tab w:val="right" w:pos="9360"/>
      </w:tabs>
      <w:spacing w:after="80" w:line="240" w:lineRule="auto" w:before="0"/>
    </w:pPr>
    <w:rPr>
      <w:rFonts w:ascii="Arial" w:hAnsi="Arial"/>
      <w:b w:val="0"/>
      <w:color w:val="505967"/>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80" w:line="240" w:lineRule="auto" w:before="0"/>
    </w:pPr>
    <w:rPr>
      <w:rFonts w:ascii="Arial" w:hAnsi="Arial"/>
      <w:b w:val="0"/>
      <w:color w:val="505967"/>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00" w:line="264" w:lineRule="auto"/>
      <w:outlineLvl w:val="0"/>
    </w:pPr>
    <w:rPr>
      <w:rFonts w:asciiTheme="majorHAnsi" w:eastAsiaTheme="majorEastAsia" w:hAnsiTheme="majorHAnsi" w:cstheme="majorBidi" w:ascii="Arial" w:hAnsi="Arial"/>
      <w:b/>
      <w:bCs/>
      <w:i w:val="0"/>
      <w:color w:val="101C38"/>
      <w:sz w:val="34"/>
      <w:szCs w:val="28"/>
    </w:rPr>
  </w:style>
  <w:style w:type="paragraph" w:styleId="Heading2">
    <w:name w:val="heading 2"/>
    <w:basedOn w:val="Normal"/>
    <w:next w:val="Normal"/>
    <w:link w:val="Heading2Char"/>
    <w:uiPriority w:val="9"/>
    <w:unhideWhenUsed/>
    <w:qFormat/>
    <w:rsid w:val="00FC693F"/>
    <w:pPr>
      <w:keepNext/>
      <w:keepLines/>
      <w:widowControl/>
      <w:spacing w:before="160" w:after="100" w:line="264" w:lineRule="auto"/>
      <w:outlineLvl w:val="1"/>
    </w:pPr>
    <w:rPr>
      <w:rFonts w:asciiTheme="majorHAnsi" w:eastAsiaTheme="majorEastAsia" w:hAnsiTheme="majorHAnsi" w:cstheme="majorBidi" w:ascii="Arial" w:hAnsi="Arial"/>
      <w:b/>
      <w:bCs/>
      <w:i w:val="0"/>
      <w:color w:val="7A5C9E"/>
      <w:sz w:val="26"/>
      <w:szCs w:val="26"/>
    </w:rPr>
  </w:style>
  <w:style w:type="paragraph" w:styleId="Heading3">
    <w:name w:val="heading 3"/>
    <w:basedOn w:val="Normal"/>
    <w:next w:val="Normal"/>
    <w:link w:val="Heading3Char"/>
    <w:uiPriority w:val="9"/>
    <w:unhideWhenUsed/>
    <w:qFormat/>
    <w:rsid w:val="00FC693F"/>
    <w:pPr>
      <w:keepNext/>
      <w:keepLines/>
      <w:widowControl/>
      <w:spacing w:before="0" w:after="100" w:line="264" w:lineRule="auto"/>
      <w:outlineLvl w:val="2"/>
    </w:pPr>
    <w:rPr>
      <w:rFonts w:asciiTheme="majorHAnsi" w:eastAsiaTheme="majorEastAsia" w:hAnsiTheme="majorHAnsi" w:cstheme="majorBidi" w:ascii="Arial" w:hAnsi="Arial"/>
      <w:b/>
      <w:bCs/>
      <w:i w:val="0"/>
      <w:color w:val="101C3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64" w:lineRule="auto" w:before="0"/>
      <w:contextualSpacing/>
    </w:pPr>
    <w:rPr>
      <w:rFonts w:asciiTheme="majorHAnsi" w:eastAsiaTheme="majorEastAsia" w:hAnsiTheme="majorHAnsi" w:cstheme="majorBidi" w:ascii="Arial" w:hAnsi="Arial"/>
      <w:b/>
      <w:i w:val="0"/>
      <w:color w:val="101C3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240" w:line="264" w:lineRule="auto"/>
    </w:pPr>
    <w:rPr>
      <w:rFonts w:asciiTheme="majorHAnsi" w:eastAsiaTheme="majorEastAsia" w:hAnsiTheme="majorHAnsi" w:cstheme="majorBidi" w:ascii="Arial" w:hAnsi="Arial"/>
      <w:b w:val="0"/>
      <w:i w:val="0"/>
      <w:iCs/>
      <w:color w:val="7A5C9E"/>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before="0" w:after="80" w:line="300" w:lineRule="auto"/>
      <w:ind w:left="540" w:hanging="270"/>
      <w:contextualSpacing/>
      <w:numPr>
        <w:ilvl w:val="0"/>
        <w:numId w:val="91"/>
      </w:numPr>
    </w:pPr>
    <w:rPr>
      <w:rFonts w:ascii="Arial" w:hAnsi="Arial"/>
      <w:b w:val="0"/>
      <w:color w:val="182033"/>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before="0" w:after="80" w:line="300" w:lineRule="auto"/>
      <w:ind w:left="540" w:hanging="270"/>
      <w:contextualSpacing/>
      <w:numPr>
        <w:ilvl w:val="0"/>
        <w:numId w:val="92"/>
      </w:numPr>
    </w:pPr>
    <w:rPr>
      <w:rFonts w:ascii="Arial" w:hAnsi="Arial"/>
      <w:b w:val="0"/>
      <w:color w:val="182033"/>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64" w:lineRule="auto" w:before="0" w:after="100"/>
    </w:pPr>
    <w:rPr>
      <w:rFonts w:ascii="Arial" w:hAnsi="Arial"/>
      <w:b w:val="0"/>
      <w:bCs/>
      <w:i w:val="0"/>
      <w:color w:val="526078"/>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LAUNCH Science teacher guide and answers</dc:title>
  <dc:subject>LAUNCH Science W3–W7</dc:subject>
  <dc:creator>Made by Matt</dc:creator>
  <cp:keywords/>
  <dc:description>Prepared for classroom use. Native Office teaching copy. See the weekly plan for practical and video use.</dc:description>
  <cp:lastModifiedBy/>
  <cp:revision>1</cp:revision>
  <dcterms:created xsi:type="dcterms:W3CDTF">2013-12-23T23:15:00Z</dcterms:created>
  <dcterms:modified xsi:type="dcterms:W3CDTF">2013-12-23T23:15:00Z</dcterms:modified>
  <cp:category/>
</cp:coreProperties>
</file>