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TEACHER GUIDANCE / ANSWERS SEPARATE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Building a balanced plate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6 · Lesson A · 40 minutes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Learning objective</w:t>
      </w:r>
    </w:p>
    <w:p>
      <w:r>
        <w:rPr>
          <w:rFonts w:ascii="Arial" w:hAnsi="Arial"/>
        </w:rPr>
        <w:t>Classify example foods into broad Eatwell groups and explain that balance concerns a range of foods over a day or week, not exact personal portions.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Evidence to look for</w:t>
      </w:r>
    </w:p>
    <w:p>
      <w:r>
        <w:rPr>
          <w:rFonts w:ascii="Arial" w:hAnsi="Arial"/>
        </w:rPr>
        <w:t>Record the pupil decision or explanation and the support used. Accept pointing, signing, adult scribing or directing the model. A photograph alone does not establish understanding; no photography or public sharing is required.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Source lesson timing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466"/>
        <w:gridCol w:w="5919"/>
        <w:gridCol w:w="1481"/>
      </w:tblGrid>
      <w:tr>
        <w:trPr>
          <w:cantSplit/>
          <w:tblHeader/>
        </w:trPr>
        <w:tc>
          <w:tcPr>
            <w:vAlign w:val="center"/>
            <w:tcW w:w="2466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Elapsed minutes</w:t>
            </w:r>
          </w:p>
        </w:tc>
        <w:tc>
          <w:tcPr>
            <w:vAlign w:val="center"/>
            <w:tcW w:w="5919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Source stage</w:t>
            </w:r>
          </w:p>
        </w:tc>
        <w:tc>
          <w:tcPr>
            <w:vAlign w:val="center"/>
            <w:tcW w:w="1481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0–1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Overview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1–5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Arrival Task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5–7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Today at a Glance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7–12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12–16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16–22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6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22–26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26–30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2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30–40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2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10</w:t>
            </w:r>
          </w:p>
        </w:tc>
      </w:tr>
    </w:tbl>
    <w:p>
      <w:pPr>
        <w:pStyle w:val="Small"/>
      </w:pPr>
      <w:r>
        <w:rPr>
          <w:rFonts w:ascii="Arial" w:hAnsi="Arial"/>
        </w:rP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Equipment and preparation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Original paper food/job cards and fictional case cards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Pupil record, pencil or adult scribe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Movable group labels; adult can read all cards aloud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</w:t>
      </w:r>
    </w:p>
    <w:p>
      <w:pPr>
        <w:pStyle w:val="Subtitle"/>
      </w:pPr>
      <w:r>
        <w:rPr>
          <w:rFonts w:ascii="Arial" w:hAnsi="Arial"/>
          <w:i w:val="0"/>
          <w:sz w:val="22"/>
        </w:rPr>
        <w:t>Use the source stage times; choose prompts appropriate to the pupil.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1: Building a balanced plate · 1 minute</w:t>
      </w:r>
    </w:p>
    <w:p>
      <w:r>
        <w:rPr>
          <w:rFonts w:ascii="Arial" w:hAnsi="Arial"/>
        </w:rPr>
        <w:t>Monday P3, 11:00-11:40. This one-minute overview is included in the 40-minute lesson.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2: Retrieve a food-job idea · 4 minutes</w:t>
      </w:r>
    </w:p>
    <w:p>
      <w:r>
        <w:rPr>
          <w:rFonts w:ascii="Arial" w:hAnsi="Arial"/>
        </w:rPr>
        <w:t>No pupil meal or diet disclosure. Supported points to a food label; standard names a job; stretch recognises overlap. Explain that this model is about broad groups, not judging any individual’s food.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3: Three things we will do · 2 minutes</w:t>
      </w:r>
    </w:p>
    <w:p>
      <w:r>
        <w:rPr>
          <w:rFonts w:ascii="Arial" w:hAnsi="Arial"/>
        </w:rPr>
        <w:t>Prepare eight source cards: rice, bread, carrot, apple, chicken, beans, milk, fortified soya alternative. The source model also names oils/spreads as a small group; do not imply the eight-card set itself shows every food needed.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4: Five broad food groups · 5 minutes</w:t>
      </w:r>
    </w:p>
    <w:p>
      <w:r>
        <w:rPr>
          <w:rFonts w:ascii="Arial" w:hAnsi="Arial"/>
        </w:rPr>
        <w:t>Name full protein group orally: beans, pulses, fish, eggs, meat and other protein. These are broad Eatwell groups; fats/sugars is not substituted as a fifth group. Oils/spreads form a small group in the guide. No exact area proportions or personal portion targets inferred from this text model.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5: Place one food, explain its group · 4 minutes</w:t>
      </w:r>
    </w:p>
    <w:p>
      <w:r>
        <w:rPr>
          <w:rFonts w:ascii="Arial" w:hAnsi="Arial"/>
        </w:rPr>
        <w:t>Model evidence rather than preference. Potato is classed with starchy foods in Eatwell grouping, although botanically a plant food. A mixed dish may contain several groups; not every food has one exclusive nutrient role.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6: Where do these four cards go? · 3 minutes</w:t>
      </w:r>
    </w:p>
    <w:p>
      <w:r>
        <w:rPr>
          <w:rFonts w:ascii="Arial" w:hAnsi="Arial"/>
        </w:rPr>
        <w:t>Collect choices before explanation. Rice/bread = starchy foods. Carrot/apple = fruit and vegetables. Pupil may point to the groups; colour is supplementary, words stay visible.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 / CONTINUED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 - continued</w:t>
      </w:r>
    </w:p>
    <w:p>
      <w:pPr>
        <w:pStyle w:val="Subtitle"/>
      </w:pPr>
      <w:r>
        <w:rPr>
          <w:rFonts w:ascii="Arial" w:hAnsi="Arial"/>
          <w:i w:val="0"/>
          <w:sz w:val="22"/>
        </w:rPr>
        <w:t>Keep the source stage times; pause and check understanding as needed.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7: Now place the other four cards · 3 minutes</w:t>
      </w:r>
    </w:p>
    <w:p>
      <w:r>
        <w:rPr>
          <w:rFonts w:ascii="Arial" w:hAnsi="Arial"/>
        </w:rPr>
        <w:t>Chicken/beans = broad protein group. Milk/fortified soya alternative = dairy and alternatives. “Alternative” does not mean identical nutrient profile; chosen example is fortified soya. Check package evidence in real life, but use only paper cards here.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8: What does balance mean? · 4 minutes</w:t>
      </w:r>
    </w:p>
    <w:p>
      <w:r>
        <w:rPr>
          <w:rFonts w:ascii="Arial" w:hAnsi="Arial"/>
        </w:rPr>
        <w:t>Ask which two groups are the largest in the Eatwell model: fruit/vegetables and starchy foods. State oils/spreads is small. The eight source cards omit an oil example; this is a limitation of a simplified activity, not a ban. Teacher may name olive oil as a reference example without requiring extra food.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9: Explain it without a vague label · 4 minutes</w:t>
      </w:r>
    </w:p>
    <w:p>
      <w:r>
        <w:rPr>
          <w:rFonts w:ascii="Arial" w:hAnsi="Arial"/>
        </w:rPr>
        <w:t>The word healthy alone is not the scientific explanation. Model a specific explanation with variety, groups and time. Avoid “bad food”, banned food, weight or calorie discussion. Teacher follow individual support plan outside this lesson.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10: Which claims need improving? · 5 minutes</w:t>
      </w:r>
    </w:p>
    <w:p>
      <w:r>
        <w:rPr>
          <w:rFonts w:ascii="Arial" w:hAnsi="Arial"/>
        </w:rPr>
        <w:t>First claim fits broad concept; only one group is insufficient to represent balance; banned claim false. Foods high in fat/salt/sugar can be included less often/in smaller amounts in official general guide, but no individual targets or moral labels. Source false claim “chips are a bad food” is challenged rather than endorsed.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11: Swap within a group and save · 5 minutes</w:t>
      </w:r>
    </w:p>
    <w:p>
      <w:r>
        <w:rPr>
          <w:rFonts w:ascii="Arial" w:hAnsi="Arial"/>
        </w:rPr>
        <w:t>Five minutes completes source ten-minute stage. Swaps preserve broad group, not exact nutrient equivalence or portion. Each learner can point, sign or direct. A mixed-food example can be unpacked if offered; no personal eating disclosures.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TEACHER ANSWERS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Worked answers and expected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Use after an attempt. Accept equivalent correct explanations; record support given.</w:t>
      </w:r>
    </w:p>
    <w:p>
      <w:pPr>
        <w:pStyle w:val="Heading2"/>
      </w:pPr>
      <w:r>
        <w:rPr>
          <w:rFonts w:ascii="Arial" w:hAnsi="Arial"/>
          <w:color w:val="152B3A"/>
        </w:rPr>
        <w:t>1. The five-group reference</w:t>
      </w:r>
    </w:p>
    <w:p>
      <w:r>
        <w:rPr>
          <w:rFonts w:ascii="Arial" w:hAnsi="Arial"/>
        </w:rPr>
        <w:t>Five broad groups follow accepted website/NHS Eatwell approach. Oils/spreads is small; foods high fat/salt/sugar are outside the main guide rather than a required sixth group. No exact quantities assessed.</w:t>
      </w:r>
    </w:p>
    <w:p>
      <w:pPr>
        <w:pStyle w:val="Heading2"/>
      </w:pPr>
      <w:r>
        <w:rPr>
          <w:rFonts w:ascii="Arial" w:hAnsi="Arial"/>
          <w:color w:val="152B3A"/>
        </w:rPr>
        <w:t>2. Sort the eight cards</w:t>
      </w:r>
    </w:p>
    <w:p>
      <w:r>
        <w:rPr>
          <w:rFonts w:ascii="Arial" w:hAnsi="Arial"/>
        </w:rPr>
        <w:t>Rice/bread starchy foods; carrot/apple fruit/vegetables; chicken/beans protein-source group; milk/fortified soya alternative dairy/alternatives.</w:t>
      </w:r>
    </w:p>
    <w:p>
      <w:pPr>
        <w:pStyle w:val="Heading2"/>
      </w:pPr>
      <w:r>
        <w:rPr>
          <w:rFonts w:ascii="Arial" w:hAnsi="Arial"/>
          <w:color w:val="152B3A"/>
        </w:rPr>
        <w:t>3. Check the claims</w:t>
      </w:r>
    </w:p>
    <w:p>
      <w:r>
        <w:rPr>
          <w:rFonts w:ascii="Arial" w:hAnsi="Arial"/>
        </w:rPr>
        <w:t>All three need correction: balance considered over a day/week; range across groups supports needs; no moral bans. Explain general guidance without personal food judgement or exact portions.</w:t>
      </w:r>
    </w:p>
    <w:p>
      <w:pPr>
        <w:pStyle w:val="Heading2"/>
      </w:pPr>
      <w:r>
        <w:rPr>
          <w:rFonts w:ascii="Arial" w:hAnsi="Arial"/>
          <w:color w:val="152B3A"/>
        </w:rPr>
        <w:t>4. A swap with a reason</w:t>
      </w:r>
    </w:p>
    <w:p>
      <w:r>
        <w:rPr>
          <w:rFonts w:ascii="Arial" w:hAnsi="Arial"/>
        </w:rPr>
        <w:t>Broad group preserved for rice/bread or chicken/beans; same group does not imply identical nutrition/portion. Limits include exact portions, complete day/week intake, individual requirements and mixed dishes.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Misconceptions and corrections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A food-group plate prescribes exact portions for every pupil: this activity supplies none.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Every meal must copy the model: balance is considered over a day/week.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Protein means only meat: beans and other pulses are in that group too.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Sometimes foods are bad or banned: use neutral inclusive language.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PREPARATION / ACCESS / SOURCE RECORD</w:t>
      </w:r>
    </w:p>
    <w:p>
      <w:pPr>
        <w:pStyle w:val="Title"/>
        <w:spacing w:after="80" w:line="250" w:lineRule="auto"/>
      </w:pPr>
      <w:r>
        <w:rPr>
          <w:rFonts w:ascii="Arial" w:hAnsi="Arial"/>
          <w:b/>
          <w:color w:val="152B3A"/>
          <w:sz w:val="48"/>
        </w:rPr>
        <w:t>Teach safely; keep the evidence</w:t>
      </w:r>
    </w:p>
    <w:p>
      <w:pPr>
        <w:pStyle w:val="Subtitle"/>
        <w:spacing w:after="80" w:line="250" w:lineRule="auto"/>
      </w:pPr>
      <w:r>
        <w:rPr>
          <w:rFonts w:ascii="Arial" w:hAnsi="Arial"/>
          <w:i w:val="0"/>
          <w:sz w:val="22"/>
        </w:rPr>
        <w:t>The source record identifies this conversion; it is not a claim of publication.</w:t>
      </w:r>
    </w:p>
    <w:p>
      <w:pPr>
        <w:pStyle w:val="Heading1"/>
        <w:pBdr>
          <w:bottom w:val="single" w:sz="6" w:color="DCE7DD" w:space="4"/>
        </w:pBdr>
        <w:spacing w:after="80" w:line="250" w:lineRule="auto" w:before="140"/>
      </w:pPr>
      <w:r>
        <w:rPr>
          <w:rFonts w:ascii="Arial" w:hAnsi="Arial"/>
        </w:rPr>
        <w:t>Safety</w:t>
      </w:r>
    </w:p>
    <w:p>
      <w:pPr>
        <w:numPr>
          <w:ilvl w:val="0"/>
          <w:numId w:val="12"/>
        </w:numPr>
        <w:spacing w:after="80" w:line="250" w:lineRule="auto"/>
      </w:pPr>
      <w:r>
        <w:rPr>
          <w:rFonts w:ascii="Arial" w:hAnsi="Arial"/>
        </w:rPr>
        <w:t>Use paper cards and invented examples only; no tasting, feeding animals or handling real food.</w:t>
      </w:r>
    </w:p>
    <w:p>
      <w:pPr>
        <w:numPr>
          <w:ilvl w:val="0"/>
          <w:numId w:val="12"/>
        </w:numPr>
        <w:spacing w:after="80" w:line="250" w:lineRule="auto"/>
      </w:pPr>
      <w:r>
        <w:rPr>
          <w:rFonts w:ascii="Arial" w:hAnsi="Arial"/>
        </w:rPr>
        <w:t>Do not ask about pupils’ weight, calories, personal meals or food available at home.</w:t>
      </w:r>
    </w:p>
    <w:p>
      <w:pPr>
        <w:numPr>
          <w:ilvl w:val="0"/>
          <w:numId w:val="12"/>
        </w:numPr>
        <w:spacing w:after="80" w:line="250" w:lineRule="auto"/>
      </w:pPr>
      <w:r>
        <w:rPr>
          <w:rFonts w:ascii="Arial" w:hAnsi="Arial"/>
        </w:rPr>
        <w:t>Use neutral food language; no foods, bodies or families labelled good or bad.</w:t>
      </w:r>
    </w:p>
    <w:p>
      <w:pPr>
        <w:numPr>
          <w:ilvl w:val="0"/>
          <w:numId w:val="12"/>
        </w:numPr>
        <w:spacing w:after="80" w:line="250" w:lineRule="auto"/>
      </w:pPr>
      <w:r>
        <w:rPr>
          <w:rFonts w:ascii="Arial" w:hAnsi="Arial"/>
        </w:rPr>
        <w:t>This is a scientific teaching model, not a diet plan; adults follow existing individual support plans.</w:t>
      </w:r>
    </w:p>
    <w:p>
      <w:pPr>
        <w:pStyle w:val="Heading1"/>
        <w:pBdr>
          <w:bottom w:val="single" w:sz="6" w:color="DCE7DD" w:space="4"/>
        </w:pBdr>
        <w:spacing w:after="80" w:line="250" w:lineRule="auto" w:before="140"/>
      </w:pPr>
      <w:r>
        <w:rPr>
          <w:rFonts w:ascii="Arial" w:hAnsi="Arial"/>
        </w:rPr>
        <w:t>Access and offline alternatives</w:t>
      </w:r>
    </w:p>
    <w:p>
      <w:pPr>
        <w:numPr>
          <w:ilvl w:val="0"/>
          <w:numId w:val="13"/>
        </w:numPr>
        <w:spacing w:after="80" w:line="250" w:lineRule="auto"/>
      </w:pPr>
      <w:r>
        <w:rPr>
          <w:rFonts w:ascii="Arial" w:hAnsi="Arial"/>
        </w:rPr>
        <w:t>Point or direct food cards to clearly worded groups with an adult reader.</w:t>
      </w:r>
    </w:p>
    <w:p>
      <w:pPr>
        <w:numPr>
          <w:ilvl w:val="0"/>
          <w:numId w:val="13"/>
        </w:numPr>
        <w:spacing w:after="80" w:line="250" w:lineRule="auto"/>
      </w:pPr>
      <w:r>
        <w:rPr>
          <w:rFonts w:ascii="Arial" w:hAnsi="Arial"/>
        </w:rPr>
        <w:t>Sort eight foods and explain balance over a day/week.</w:t>
      </w:r>
    </w:p>
    <w:p>
      <w:pPr>
        <w:numPr>
          <w:ilvl w:val="0"/>
          <w:numId w:val="13"/>
        </w:numPr>
        <w:spacing w:after="80" w:line="250" w:lineRule="auto"/>
      </w:pPr>
      <w:r>
        <w:rPr>
          <w:rFonts w:ascii="Arial" w:hAnsi="Arial"/>
        </w:rPr>
        <w:t>Justify a group-preserving swap and explain a limitation of the model.</w:t>
      </w:r>
    </w:p>
    <w:p>
      <w:pPr>
        <w:numPr>
          <w:ilvl w:val="0"/>
          <w:numId w:val="13"/>
        </w:numPr>
        <w:spacing w:after="80" w:line="250" w:lineRule="auto"/>
      </w:pPr>
      <w:r>
        <w:rPr>
          <w:rFonts w:ascii="Arial" w:hAnsi="Arial"/>
        </w:rPr>
        <w:t>Adult receives one real pupil observation or access request, acts on a feasible change and explains limits. A learner can pass privately.</w:t>
      </w:r>
    </w:p>
    <w:p>
      <w:pPr>
        <w:pStyle w:val="Heading1"/>
        <w:pBdr>
          <w:bottom w:val="single" w:sz="6" w:color="DCE7DD" w:space="4"/>
        </w:pBdr>
        <w:spacing w:after="80" w:line="250" w:lineRule="auto" w:before="140"/>
      </w:pPr>
      <w:r>
        <w:rPr>
          <w:rFonts w:ascii="Arial" w:hAnsi="Arial"/>
        </w:rPr>
        <w:t>Close and continue</w:t>
      </w:r>
    </w:p>
    <w:p>
      <w:pPr>
        <w:spacing w:after="80" w:line="250" w:lineRule="auto"/>
      </w:pPr>
      <w:r>
        <w:rPr>
          <w:rFonts w:ascii="Arial" w:hAnsi="Arial"/>
        </w:rPr>
        <w:t>Finish at 40 minutes. Keep named cards and records for Wednesday Week 6; do not start the workshop early.</w:t>
      </w:r>
    </w:p>
    <w:p>
      <w:pPr>
        <w:pStyle w:val="Heading1"/>
        <w:pBdr>
          <w:bottom w:val="single" w:sz="6" w:color="DCE7DD" w:space="4"/>
        </w:pBdr>
        <w:spacing w:after="80" w:line="250" w:lineRule="auto" w:before="140"/>
      </w:pPr>
      <w:r>
        <w:rPr>
          <w:rFonts w:ascii="Arial" w:hAnsi="Arial"/>
        </w:rPr>
        <w:t>Source and revision</w:t>
      </w:r>
    </w:p>
    <w:p>
      <w:pPr>
        <w:pStyle w:val="Small"/>
        <w:spacing w:after="80" w:line="250" w:lineRule="auto"/>
      </w:pPr>
      <w:r>
        <w:rPr>
          <w:rFonts w:ascii="Arial" w:hAnsi="Arial"/>
        </w:rPr>
        <w:t>Repository: MattRoper1977/Lessons</w:t>
      </w:r>
    </w:p>
    <w:p>
      <w:pPr>
        <w:pStyle w:val="Small"/>
        <w:spacing w:after="80" w:line="250" w:lineRule="auto"/>
      </w:pPr>
      <w:r>
        <w:rPr>
          <w:rFonts w:ascii="Arial" w:hAnsi="Arial"/>
        </w:rPr>
        <w:t>Source path: Science_Teesside/Build/SCI_B_W6_Balanced_Plate.html</w:t>
      </w:r>
    </w:p>
    <w:p>
      <w:pPr>
        <w:pStyle w:val="Small"/>
        <w:spacing w:after="80" w:line="250" w:lineRule="auto"/>
      </w:pPr>
      <w:r>
        <w:rPr>
          <w:rFonts w:ascii="Arial" w:hAnsi="Arial"/>
        </w:rPr>
        <w:t>Source file Git blob: 186a497288fca4483f58539306d07e5a12d7d819</w:t>
      </w:r>
    </w:p>
    <w:p>
      <w:pPr>
        <w:pStyle w:val="Small"/>
        <w:spacing w:after="80" w:line="250" w:lineRule="auto"/>
      </w:pPr>
      <w:r>
        <w:rPr>
          <w:rFonts w:ascii="Arial" w:hAnsi="Arial"/>
        </w:rPr>
        <w:t>Current source link (mutable): https://github.com/MattRoper1977/Lessons/blob/main/Science_Teesside/Build/SCI_B_W6_Balanced_Plate.html</w:t>
      </w:r>
    </w:p>
    <w:p>
      <w:pPr>
        <w:pStyle w:val="Small"/>
        <w:spacing w:after="80" w:line="250" w:lineRule="auto"/>
      </w:pPr>
      <w:r>
        <w:rPr>
          <w:rFonts w:ascii="Arial" w:hAnsi="Arial"/>
        </w:rPr>
        <w:t>Document revision: 2026-09-06</w:t>
      </w:r>
    </w:p>
    <w:p>
      <w:pPr>
        <w:pStyle w:val="Heading2"/>
        <w:spacing w:after="80" w:line="250" w:lineRule="auto"/>
      </w:pPr>
      <w:r>
        <w:rPr>
          <w:rFonts w:ascii="Arial" w:hAnsi="Arial"/>
          <w:color w:val="152B3A"/>
        </w:rPr>
        <w:t>Uploaded supporting sources</w:t>
      </w:r>
    </w:p>
    <w:p>
      <w:pPr>
        <w:numPr>
          <w:ilvl w:val="0"/>
          <w:numId w:val="14"/>
        </w:numPr>
        <w:spacing w:after="80" w:line="250" w:lineRule="auto"/>
      </w:pPr>
      <w:r>
        <w:rPr>
          <w:rFonts w:ascii="Arial" w:hAnsi="Arial"/>
        </w:rPr>
        <w:t>White Rose Education, Year 3 Autumn Block 3 (2024): Nutrition and diet, steps 1-4, including Balanced diets and Compare diets. Original teaching models follow current website safeguards and NHS Eatwell grouping; no publisher slide/media copied.</w:t>
      </w:r>
    </w:p>
    <w:p>
      <w:pPr>
        <w:pStyle w:val="Heading2"/>
        <w:spacing w:after="80" w:line="250" w:lineRule="auto"/>
      </w:pPr>
      <w:r>
        <w:rPr>
          <w:rFonts w:ascii="Arial" w:hAnsi="Arial"/>
          <w:color w:val="152B3A"/>
        </w:rPr>
        <w:t>Recorded conversion changes</w:t>
      </w:r>
    </w:p>
    <w:p>
      <w:pPr>
        <w:numPr>
          <w:ilvl w:val="0"/>
          <w:numId w:val="15"/>
        </w:numPr>
        <w:spacing w:after="80" w:line="250" w:lineRule="auto"/>
      </w:pPr>
      <w:r>
        <w:rPr>
          <w:rFonts w:ascii="Arial" w:hAnsi="Arial"/>
        </w:rPr>
        <w:t>Original editable classroom text, scientific diagrams and pupil tasks follow the current weekly HTML, not the older retained A/B teaching version.</w:t>
      </w:r>
    </w:p>
    <w:p>
      <w:pPr>
        <w:numPr>
          <w:ilvl w:val="0"/>
          <w:numId w:val="15"/>
        </w:numPr>
        <w:spacing w:after="80" w:line="250" w:lineRule="auto"/>
      </w:pPr>
      <w:r>
        <w:rPr>
          <w:rFonts w:ascii="Arial" w:hAnsi="Arial"/>
        </w:rPr>
        <w:t>White Rose uploads inform concepts and task choices; no publisher-owned slide, photograph, worksheet page or video is redistributed in these public files.</w:t>
      </w:r>
    </w:p>
    <w:p>
      <w:pPr>
        <w:numPr>
          <w:ilvl w:val="0"/>
          <w:numId w:val="15"/>
        </w:numPr>
        <w:spacing w:after="80" w:line="250" w:lineRule="auto"/>
      </w:pPr>
      <w:r>
        <w:rPr>
          <w:rFonts w:ascii="Arial" w:hAnsi="Arial"/>
        </w:rPr>
        <w:t>Website animations and drag-and-drop controls become teacher-led reveals, movable paper labels and accessible spoken/drawn responses. No internet connection or video is needed.</w:t>
      </w:r>
    </w:p>
    <w:p>
      <w:pPr>
        <w:numPr>
          <w:ilvl w:val="0"/>
          <w:numId w:val="15"/>
        </w:numPr>
        <w:spacing w:after="80" w:line="250" w:lineRule="auto"/>
      </w:pPr>
      <w:r>
        <w:rPr>
          <w:rFonts w:ascii="Arial" w:hAnsi="Arial"/>
        </w:rPr>
        <w:t>Autumn 1 Weeks 1-2 were baseline assessment. This is a Weeks 3-7 teaching pack, not a claim that baseline assessments or the separate Week 8 enrichment are included.</w:t>
      </w:r>
    </w:p>
    <w:p>
      <w:pPr>
        <w:numPr>
          <w:ilvl w:val="0"/>
          <w:numId w:val="15"/>
        </w:numPr>
        <w:spacing w:after="80" w:line="250" w:lineRule="auto"/>
      </w:pPr>
      <w:r>
        <w:rPr>
          <w:rFonts w:ascii="Arial" w:hAnsi="Arial"/>
        </w:rPr>
        <w:t>Five broad Eatwell groups are used consistently. Uploaded source’s alternative labels are not copied where they differ from the current accepted website/NHS grouping.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· Lesson A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 balanced plate - BUILD_Science_Autumn1_W6A_Balanced_Plate - Teacher</dc:title>
  <dc:subject>Autumn 1 · Week 6 · Lesson A</dc:subject>
  <dc:creator>Made by Matt</dc:creator>
  <cp:keywords>BUILD, Science, Building a balanced plate, Autumn 1, Week 6,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