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keepLines/>
      </w:pPr>
      <w:r>
        <w:t>LAUNCH HUMANITIES / PUPIL SHEET 1</w:t>
      </w:r>
    </w:p>
    <w:p>
      <w:pPr>
        <w:pStyle w:val="Title"/>
        <w:keepLines/>
      </w:pPr>
      <w:r>
        <w:t>Evidence bank</w:t>
      </w:r>
    </w:p>
    <w:p>
      <w:pPr>
        <w:pStyle w:val="Subtitle"/>
        <w:keepLines/>
      </w:pPr>
      <w:r>
        <w:t>Autumn 1 · Week 6 · An account with evidence</w:t>
      </w:r>
    </w:p>
    <w:p>
      <w:pPr>
        <w:keepLines/>
      </w:pPr>
      <w:r>
        <w:t>Name: __________________________   Date: ______________</w:t>
      </w:r>
    </w:p>
    <w:p>
      <w:pPr>
        <w:keepLines/>
      </w:pPr>
      <w:r>
        <w:t>Question: How far did migration and action lead to fairer treatment in Britain? Distinguish contribution, campaigning and changes in law.</w:t>
      </w:r>
    </w:p>
    <w:p>
      <w:pPr>
        <w:pStyle w:val="Heading2"/>
        <w:keepLines/>
      </w:pPr>
      <w:r>
        <w:t>W | A journey recorded, 1948</w:t>
      </w:r>
    </w:p>
    <w:p>
      <w:pPr>
        <w:keepLines/>
      </w:pPr>
      <w:r>
        <w:t>The Empire Windrush brought passengers to Tilbury on 22 June 1948. The shipping record lists names, ages, occupations and proposed addresses. On this page Kenneth Amos is recorded as 21 and a welder; Rubert Adolphus as 24 and a carpenter. A recorded occupation is not proof of a job secured in Britain. The form does not directly record each person's reason for travelling.</w:t>
      </w:r>
    </w:p>
    <w:p>
      <w:pPr>
        <w:pStyle w:val="Small"/>
        <w:keepLines/>
      </w:pPr>
      <w:r>
        <w:t>Secondary teaching summary of a primary passenger list; original image supplied.</w:t>
      </w:r>
    </w:p>
    <w:p>
      <w:pPr>
        <w:pStyle w:val="Heading2"/>
        <w:keepLines/>
      </w:pPr>
      <w:r>
        <w:t>B | A collective campaign, 1963</w:t>
      </w:r>
    </w:p>
    <w:p>
      <w:pPr>
        <w:keepLines/>
      </w:pPr>
      <w:r>
        <w:t>The Bristol Omnibus Company excluded Black and Asian people from work as bus crews. Paul Stephenson, Roy Hackett, Owen Henry, Audley Evans and Prince Brown were among the campaign organisers. Supporters refused to use the buses. The company ended the employment colour bar in August 1963. This was a collective campaign; it did not end all racism.</w:t>
      </w:r>
    </w:p>
    <w:p>
      <w:pPr>
        <w:pStyle w:val="Small"/>
        <w:keepLines/>
      </w:pPr>
      <w:r>
        <w:t>New secondary teaching summary of Historic England's account.</w:t>
      </w:r>
    </w:p>
    <w:p>
      <w:pPr>
        <w:pStyle w:val="Heading2"/>
        <w:keepLines/>
      </w:pPr>
      <w:r>
        <w:t>R | A law with limits, 1965</w:t>
      </w:r>
    </w:p>
    <w:p>
      <w:pPr>
        <w:keepLines/>
      </w:pPr>
      <w:r>
        <w:t>The Race Relations Act 1965 prohibited racial discrimination in specified public places in Great Britain. It did not cover major areas such as employment and most housing. It was a legal change, but it did not make all treatment fair or remove racism. A rule and people's everyday experiences are different kinds of evidence.</w:t>
      </w:r>
    </w:p>
    <w:p>
      <w:pPr>
        <w:pStyle w:val="Small"/>
        <w:keepLines/>
      </w:pPr>
      <w:r>
        <w:t>New secondary teaching summary of UK Parliament's historical account.</w:t>
      </w:r>
    </w:p>
    <w:p>
      <w:r>
        <w:br w:type="page"/>
      </w:r>
    </w:p>
    <w:p>
      <w:pPr>
        <w:pStyle w:val="Kicker"/>
        <w:keepLines/>
      </w:pPr>
      <w:r>
        <w:t>LAUNCH HUMANITIES / PUPIL SHEET 2</w:t>
      </w:r>
    </w:p>
    <w:p>
      <w:pPr>
        <w:pStyle w:val="Title"/>
        <w:keepLines/>
      </w:pPr>
      <w:r>
        <w:t>Sort the six statements</w:t>
      </w:r>
    </w:p>
    <w:p>
      <w:pPr>
        <w:pStyle w:val="Subtitle"/>
        <w:keepLines/>
      </w:pPr>
      <w:r>
        <w:t>Autumn 1 · Week 6 · An account with evidence</w:t>
      </w:r>
    </w:p>
    <w:p>
      <w:pPr>
        <w:keepLines/>
      </w:pPr>
      <w:r>
        <w:t>Possible paragraph headings: contribution; collective action; legal change and limits. A statement may serve another point if you explain the connection.</w:t>
      </w:r>
    </w:p>
    <w:tbl>
      <w:tblPr>
        <w:tblW w:type="dxa" w:w="9864"/>
        <w:jc w:val="left"/>
        <w:tblLayout w:type="fixed"/>
        <w:tblLook w:firstColumn="1" w:firstRow="1" w:lastColumn="0" w:lastRow="0" w:noHBand="0" w:noVBand="1" w:val="04A0"/>
        <w:tblBorders>
          <w:top w:val="single" w:sz="5" w:color="A7B9B1"/>
          <w:left w:val="single" w:sz="5" w:color="A7B9B1"/>
          <w:bottom w:val="single" w:sz="5" w:color="A7B9B1"/>
          <w:right w:val="single" w:sz="5" w:color="A7B9B1"/>
          <w:insideH w:val="single" w:sz="5" w:color="A7B9B1"/>
          <w:insideV w:val="single" w:sz="5" w:color="A7B9B1"/>
        </w:tblBorders>
      </w:tblPr>
      <w:tblGrid>
        <w:gridCol w:w="936"/>
        <w:gridCol w:w="5688"/>
        <w:gridCol w:w="3240"/>
      </w:tblGrid>
      <w:tr>
        <w:trPr>
          <w:trHeight w:hRule="atLeast" w:val="418"/>
          <w:cantSplit/>
          <w:tblHeader/>
        </w:trPr>
        <w:tc>
          <w:tcPr>
            <w:tcW w:type="dxa" w:w="936"/>
            <w:tcMar>
              <w:top w:w="95" w:type="dxa"/>
              <w:left w:w="95" w:type="dxa"/>
              <w:bottom w:w="95" w:type="dxa"/>
              <w:right w:w="95" w:type="dxa"/>
            </w:tcMar>
            <w:shd w:fill="28685E"/>
          </w:tcPr>
          <w:p>
            <w:pPr>
              <w:keepLines/>
              <w:spacing w:after="40" w:line="252" w:lineRule="auto"/>
            </w:pPr>
            <w:r>
              <w:rPr>
                <w:rFonts w:ascii="Arial" w:hAnsi="Arial"/>
                <w:b/>
                <w:color w:val="FFFFFF"/>
                <w:sz w:val="22"/>
              </w:rPr>
              <w:t>No.</w:t>
            </w:r>
          </w:p>
        </w:tc>
        <w:tc>
          <w:tcPr>
            <w:tcW w:type="dxa" w:w="5688"/>
            <w:tcMar>
              <w:top w:w="95" w:type="dxa"/>
              <w:left w:w="95" w:type="dxa"/>
              <w:bottom w:w="95" w:type="dxa"/>
              <w:right w:w="95" w:type="dxa"/>
            </w:tcMar>
            <w:shd w:fill="28685E"/>
          </w:tcPr>
          <w:p>
            <w:pPr>
              <w:keepLines/>
              <w:spacing w:after="40" w:line="252" w:lineRule="auto"/>
            </w:pPr>
            <w:r>
              <w:rPr>
                <w:rFonts w:ascii="Arial" w:hAnsi="Arial"/>
                <w:b/>
                <w:color w:val="FFFFFF"/>
                <w:sz w:val="22"/>
              </w:rPr>
              <w:t>Evidence statement</w:t>
            </w:r>
          </w:p>
        </w:tc>
        <w:tc>
          <w:tcPr>
            <w:tcW w:type="dxa" w:w="3240"/>
            <w:tcMar>
              <w:top w:w="95" w:type="dxa"/>
              <w:left w:w="95" w:type="dxa"/>
              <w:bottom w:w="95" w:type="dxa"/>
              <w:right w:w="95" w:type="dxa"/>
            </w:tcMar>
            <w:shd w:fill="28685E"/>
          </w:tcPr>
          <w:p>
            <w:pPr>
              <w:keepLines/>
              <w:spacing w:after="40" w:line="252" w:lineRule="auto"/>
            </w:pPr>
            <w:r>
              <w:rPr>
                <w:rFonts w:ascii="Arial" w:hAnsi="Arial"/>
                <w:b/>
                <w:color w:val="FFFFFF"/>
                <w:sz w:val="22"/>
              </w:rPr>
              <w:t>Best paragraph</w:t>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1</w:t>
            </w:r>
          </w:p>
        </w:tc>
        <w:tc>
          <w:tcPr>
            <w:tcW w:type="dxa" w:w="5688"/>
            <w:tcMar>
              <w:top w:w="95" w:type="dxa"/>
              <w:left w:w="95" w:type="dxa"/>
              <w:bottom w:w="95" w:type="dxa"/>
              <w:right w:w="95" w:type="dxa"/>
            </w:tcMar>
          </w:tcPr>
          <w:p>
            <w:pPr>
              <w:keepLines/>
              <w:spacing w:after="40" w:line="252" w:lineRule="auto"/>
            </w:pPr>
            <w:r>
              <w:rPr>
                <w:rFonts w:ascii="Arial" w:hAnsi="Arial"/>
                <w:sz w:val="22"/>
              </w:rPr>
              <w:t>W records a 1948 journey.</w:t>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2</w:t>
            </w:r>
          </w:p>
        </w:tc>
        <w:tc>
          <w:tcPr>
            <w:tcW w:type="dxa" w:w="5688"/>
            <w:tcMar>
              <w:top w:w="95" w:type="dxa"/>
              <w:left w:w="95" w:type="dxa"/>
              <w:bottom w:w="95" w:type="dxa"/>
              <w:right w:w="95" w:type="dxa"/>
            </w:tcMar>
          </w:tcPr>
          <w:p>
            <w:pPr>
              <w:keepLines/>
              <w:spacing w:after="40" w:line="252" w:lineRule="auto"/>
            </w:pPr>
            <w:r>
              <w:rPr>
                <w:rFonts w:ascii="Arial" w:hAnsi="Arial"/>
                <w:sz w:val="22"/>
              </w:rPr>
              <w:t>W records different occupations.</w:t>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3</w:t>
            </w:r>
          </w:p>
        </w:tc>
        <w:tc>
          <w:tcPr>
            <w:tcW w:type="dxa" w:w="5688"/>
            <w:tcMar>
              <w:top w:w="95" w:type="dxa"/>
              <w:left w:w="95" w:type="dxa"/>
              <w:bottom w:w="95" w:type="dxa"/>
              <w:right w:w="95" w:type="dxa"/>
            </w:tcMar>
          </w:tcPr>
          <w:p>
            <w:pPr>
              <w:keepLines/>
              <w:spacing w:after="40" w:line="252" w:lineRule="auto"/>
            </w:pPr>
            <w:r>
              <w:rPr>
                <w:rFonts w:ascii="Arial" w:hAnsi="Arial"/>
                <w:sz w:val="22"/>
              </w:rPr>
              <w:t>B describes a collective boycott.</w:t>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4</w:t>
            </w:r>
          </w:p>
        </w:tc>
        <w:tc>
          <w:tcPr>
            <w:tcW w:type="dxa" w:w="5688"/>
            <w:tcMar>
              <w:top w:w="95" w:type="dxa"/>
              <w:left w:w="95" w:type="dxa"/>
              <w:bottom w:w="95" w:type="dxa"/>
              <w:right w:w="95" w:type="dxa"/>
            </w:tcMar>
          </w:tcPr>
          <w:p>
            <w:pPr>
              <w:keepLines/>
              <w:spacing w:after="40" w:line="252" w:lineRule="auto"/>
            </w:pPr>
            <w:r>
              <w:rPr>
                <w:rFonts w:ascii="Arial" w:hAnsi="Arial"/>
                <w:sz w:val="22"/>
              </w:rPr>
              <w:t>B records a change to bus-crew recruitment.</w:t>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5</w:t>
            </w:r>
          </w:p>
        </w:tc>
        <w:tc>
          <w:tcPr>
            <w:tcW w:type="dxa" w:w="5688"/>
            <w:tcMar>
              <w:top w:w="95" w:type="dxa"/>
              <w:left w:w="95" w:type="dxa"/>
              <w:bottom w:w="95" w:type="dxa"/>
              <w:right w:w="95" w:type="dxa"/>
            </w:tcMar>
          </w:tcPr>
          <w:p>
            <w:pPr>
              <w:keepLines/>
              <w:spacing w:after="40" w:line="252" w:lineRule="auto"/>
            </w:pPr>
            <w:r>
              <w:rPr>
                <w:rFonts w:ascii="Arial" w:hAnsi="Arial"/>
                <w:sz w:val="22"/>
              </w:rPr>
              <w:t>R describes protection in specified public places.</w:t>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6</w:t>
            </w:r>
          </w:p>
        </w:tc>
        <w:tc>
          <w:tcPr>
            <w:tcW w:type="dxa" w:w="5688"/>
            <w:tcMar>
              <w:top w:w="95" w:type="dxa"/>
              <w:left w:w="95" w:type="dxa"/>
              <w:bottom w:w="95" w:type="dxa"/>
              <w:right w:w="95" w:type="dxa"/>
            </w:tcMar>
          </w:tcPr>
          <w:p>
            <w:pPr>
              <w:keepLines/>
              <w:spacing w:after="40" w:line="252" w:lineRule="auto"/>
            </w:pPr>
            <w:r>
              <w:rPr>
                <w:rFonts w:ascii="Arial" w:hAnsi="Arial"/>
                <w:sz w:val="22"/>
              </w:rPr>
              <w:t>R records gaps in employment and housing.</w:t>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bl>
    <w:p>
      <w:pPr>
        <w:keepLines/>
        <w:spacing w:after="0"/>
      </w:pPr>
    </w:p>
    <w:p>
      <w:r>
        <w:br w:type="page"/>
      </w:r>
    </w:p>
    <w:p>
      <w:pPr>
        <w:pStyle w:val="Kicker"/>
        <w:keepLines/>
      </w:pPr>
      <w:r>
        <w:t>LAUNCH HUMANITIES / PUPIL SHEET 3</w:t>
      </w:r>
    </w:p>
    <w:p>
      <w:pPr>
        <w:pStyle w:val="Title"/>
        <w:keepLines/>
      </w:pPr>
      <w:r>
        <w:t>My structured account</w:t>
      </w:r>
    </w:p>
    <w:p>
      <w:pPr>
        <w:pStyle w:val="Subtitle"/>
        <w:keepLines/>
      </w:pPr>
      <w:r>
        <w:t>Autumn 1 · Week 6 · An account with evidence</w:t>
      </w:r>
    </w:p>
    <w:p>
      <w:pPr>
        <w:keepLines/>
      </w:pPr>
      <w:r>
        <w:t>Start with an overall answer. Use at least two explained, sourced points. Link each paragraph to the question. End with a qualified judgement.</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pPr>
        <w:pStyle w:val="ResponseLine"/>
        <w:keepLines/>
      </w:pPr>
      <w:r>
        <w:t xml:space="preserve"> </w:t>
      </w:r>
    </w:p>
    <w:p>
      <w:r>
        <w:br w:type="page"/>
      </w:r>
    </w:p>
    <w:p>
      <w:pPr>
        <w:pStyle w:val="Kicker"/>
        <w:keepLines/>
      </w:pPr>
      <w:r>
        <w:t>LAUNCH HUMANITIES / PUPIL SHEET 4</w:t>
      </w:r>
    </w:p>
    <w:p>
      <w:pPr>
        <w:pStyle w:val="Title"/>
        <w:keepLines/>
      </w:pPr>
      <w:r>
        <w:t>Evaluate your own writing</w:t>
      </w:r>
    </w:p>
    <w:p>
      <w:pPr>
        <w:pStyle w:val="Subtitle"/>
        <w:keepLines/>
      </w:pPr>
      <w:r>
        <w:t>Autumn 1 · Week 6 · An account with evidence</w:t>
      </w:r>
    </w:p>
    <w:p>
      <w:pPr>
        <w:keepLines/>
      </w:pPr>
      <w:r>
        <w:rPr>
          <w:b/>
        </w:rPr>
        <w:t>My strongest evidence-and-explanation pair:</w:t>
      </w:r>
    </w:p>
    <w:p>
      <w:pPr>
        <w:pStyle w:val="ResponseLine"/>
        <w:keepLines/>
      </w:pPr>
      <w:r>
        <w:t xml:space="preserve"> </w:t>
      </w:r>
    </w:p>
    <w:p>
      <w:pPr>
        <w:pStyle w:val="ResponseLine"/>
        <w:keepLines/>
      </w:pPr>
      <w:r>
        <w:t xml:space="preserve"> </w:t>
      </w:r>
    </w:p>
    <w:p>
      <w:pPr>
        <w:keepLines/>
      </w:pPr>
      <w:r>
        <w:rPr>
          <w:b/>
        </w:rPr>
        <w:t>A limit I acknowledged:</w:t>
      </w:r>
    </w:p>
    <w:p>
      <w:pPr>
        <w:pStyle w:val="ResponseLine"/>
        <w:keepLines/>
      </w:pPr>
      <w:r>
        <w:t xml:space="preserve"> </w:t>
      </w:r>
    </w:p>
    <w:p>
      <w:pPr>
        <w:pStyle w:val="ResponseLine"/>
        <w:keepLines/>
      </w:pPr>
      <w:r>
        <w:t xml:space="preserve"> </w:t>
      </w:r>
    </w:p>
    <w:p>
      <w:pPr>
        <w:keepLines/>
      </w:pPr>
      <w:r>
        <w:rPr>
          <w:b/>
        </w:rPr>
        <w:t>One source I used and what it cannot establish:</w:t>
      </w:r>
    </w:p>
    <w:p>
      <w:pPr>
        <w:pStyle w:val="ResponseLine"/>
        <w:keepLines/>
      </w:pPr>
      <w:r>
        <w:t xml:space="preserve"> </w:t>
      </w:r>
    </w:p>
    <w:p>
      <w:pPr>
        <w:pStyle w:val="ResponseLine"/>
        <w:keepLines/>
      </w:pPr>
      <w:r>
        <w:t xml:space="preserve"> </w:t>
      </w:r>
    </w:p>
    <w:p>
      <w:pPr>
        <w:keepLines/>
      </w:pPr>
      <w:r>
        <w:rPr>
          <w:b/>
        </w:rPr>
        <w:t>My next revision:</w:t>
      </w:r>
    </w:p>
    <w:p>
      <w:pPr>
        <w:pStyle w:val="ResponseLine"/>
        <w:keepLines/>
      </w:pPr>
      <w:r>
        <w:t xml:space="preserve"> </w:t>
      </w:r>
    </w:p>
    <w:p>
      <w:pPr>
        <w:pStyle w:val="ResponseLine"/>
        <w:keepLines/>
      </w:pPr>
      <w:r>
        <w:t xml:space="preserve"> </w:t>
      </w:r>
    </w:p>
    <w:sectPr w:rsidR="00FC693F" w:rsidRPr="0006063C" w:rsidSect="00034616">
      <w:headerReference w:type="default" r:id="rId9"/>
      <w:footerReference w:type="default" r:id="rId10"/>
      <w:pgSz w:w="11906" w:h="16838"/>
      <w:pgMar w:top="1020" w:right="1020" w:bottom="1020" w:left="1020" w:header="369" w:footer="36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Pr>
    <w:r>
      <w:rPr>
        <w:rFonts w:ascii="Arial" w:hAnsi="Arial"/>
        <w:color w:val="54656C"/>
        <w:sz w:val="17"/>
      </w:rPr>
      <w:t xml:space="preserve">Autumn 1 · Week 6  |  Pupil sheet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pBdr>
        <w:bottom w:val="single" w:sz="8" w:color="DCE7DD" w:space="5"/>
      </w:pBdr>
    </w:pPr>
    <w:r>
      <w:rPr>
        <w:rFonts w:ascii="Arial" w:hAnsi="Arial"/>
      </w:rPr>
    </w:r>
    <w:r>
      <w:rPr>
        <w:rFonts w:ascii="Arial" w:hAnsi="Arial"/>
      </w:rPr>
      <w:t xml:space="preserve">  MADE BY MATT  /  LAUNCH HUMANITIES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59" w:lineRule="auto"/>
    </w:pPr>
    <w:rPr>
      <w:rFonts w:ascii="Arial" w:hAnsi="Arial" w:eastAsia="Arial" w:cs="Arial"/>
      <w:b w:val="0"/>
      <w:color w:val="152B3A"/>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line="254" w:lineRule="auto"/>
      <w:outlineLvl w:val="0"/>
    </w:pPr>
    <w:rPr>
      <w:rFonts w:ascii="Arial" w:hAnsi="Arial" w:eastAsia="Arial" w:cs="Arial"/>
      <w:b/>
      <w:bCs/>
      <w:color w:val="28685E"/>
      <w:sz w:val="30"/>
      <w:szCs w:val="28"/>
    </w:rPr>
  </w:style>
  <w:style w:type="paragraph" w:styleId="Heading2">
    <w:name w:val="heading 2"/>
    <w:basedOn w:val="Normal"/>
    <w:next w:val="Normal"/>
    <w:link w:val="Heading2Char"/>
    <w:uiPriority w:val="9"/>
    <w:unhideWhenUsed/>
    <w:qFormat/>
    <w:rsid w:val="00FC693F"/>
    <w:pPr>
      <w:keepNext/>
      <w:keepLines/>
      <w:widowControl/>
      <w:spacing w:before="140" w:after="80" w:line="254" w:lineRule="auto"/>
      <w:outlineLvl w:val="1"/>
    </w:pPr>
    <w:rPr>
      <w:rFonts w:ascii="Arial" w:hAnsi="Arial" w:eastAsia="Arial" w:cs="Arial"/>
      <w:b/>
      <w:bCs/>
      <w:color w:val="152B3A"/>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50" w:lineRule="auto" w:before="0"/>
      <w:contextualSpacing/>
    </w:pPr>
    <w:rPr>
      <w:rFonts w:ascii="Arial" w:hAnsi="Arial" w:eastAsia="Arial" w:cs="Arial"/>
      <w:b/>
      <w:color w:val="152B3A"/>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200" w:line="252" w:lineRule="auto"/>
    </w:pPr>
    <w:rPr>
      <w:rFonts w:ascii="Arial" w:hAnsi="Arial" w:eastAsia="Arial" w:cs="Arial"/>
      <w:b w:val="0"/>
      <w:i w:val="0"/>
      <w:iCs/>
      <w:color w:val="54656C"/>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120" w:line="259" w:lineRule="auto"/>
      <w:contextualSpacing/>
    </w:pPr>
    <w:rPr>
      <w:rFonts w:ascii="Arial" w:hAnsi="Arial"/>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40" w:line="250" w:lineRule="auto"/>
    </w:pPr>
    <w:rPr>
      <w:rFonts w:ascii="Arial" w:hAnsi="Arial" w:eastAsia="Arial" w:cs="Arial"/>
      <w:b/>
      <w:color w:val="28685E"/>
      <w:sz w:val="18"/>
    </w:rPr>
  </w:style>
  <w:style w:type="paragraph" w:customStyle="1" w:styleId="Small">
    <w:name w:val="Small"/>
    <w:pPr>
      <w:widowControl/>
      <w:spacing w:before="0" w:after="120" w:line="254" w:lineRule="auto"/>
    </w:pPr>
    <w:rPr>
      <w:rFonts w:ascii="Arial" w:hAnsi="Arial" w:eastAsia="Arial" w:cs="Arial"/>
      <w:b w:val="0"/>
      <w:color w:val="54656C"/>
      <w:sz w:val="18"/>
    </w:rPr>
  </w:style>
  <w:style w:type="paragraph" w:customStyle="1" w:styleId="ResponseLine">
    <w:name w:val="ResponseLine"/>
    <w:pPr>
      <w:widowControl/>
      <w:spacing w:before="0" w:after="0" w:line="480" w:lineRule="exact"/>
    </w:pPr>
    <w:rPr>
      <w:rFonts w:ascii="Arial" w:hAnsi="Arial" w:eastAsia="Arial" w:cs="Arial"/>
      <w:b w:val="0"/>
      <w:color w:val="152B3A"/>
      <w:sz w:val="24"/>
    </w:rPr>
  </w:style>
  <w:style w:type="paragraph" w:customStyle="1" w:styleId="Callout">
    <w:name w:val="Callout"/>
    <w:pPr>
      <w:widowControl/>
      <w:spacing w:before="120" w:after="180" w:line="254" w:lineRule="auto"/>
    </w:pPr>
    <w:rPr>
      <w:rFonts w:ascii="Arial" w:hAnsi="Arial" w:eastAsia="Arial" w:cs="Arial"/>
      <w:b w:val="0"/>
      <w:color w:val="152B3A"/>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LAUNCH Humanities • Autumn 1</dc:title>
  <dc:subject>Humanities, Autumn 1, Weeks 3–7</dc:subject>
  <dc:creator>Made by Matt</dc:creator>
  <cp:keywords>Humanities; Autumn 1; 2026–27</cp:keywords>
  <dc:description>generated by python-docx</dc:description>
  <cp:lastModifiedBy/>
  <cp:revision>1</cp:revision>
  <dcterms:created xsi:type="dcterms:W3CDTF">2013-12-23T23:15:00Z</dcterms:created>
  <dcterms:modified xsi:type="dcterms:W3CDTF">2013-12-23T23:15:00Z</dcterms:modified>
  <cp:category/>
</cp:coreProperties>
</file>