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Kicker"/>
        <w:keepLines/>
      </w:pPr>
      <w:r>
        <w:t>LAUNCH HUMANITIES / PUPIL SHEET 1</w:t>
      </w:r>
    </w:p>
    <w:p>
      <w:pPr>
        <w:pStyle w:val="Title"/>
        <w:keepLines/>
      </w:pPr>
      <w:r>
        <w:t>Source A: the original document</w:t>
      </w:r>
    </w:p>
    <w:p>
      <w:pPr>
        <w:pStyle w:val="Subtitle"/>
        <w:keepLines/>
      </w:pPr>
      <w:r>
        <w:t>Autumn 1 · Week 3 · What can a source show?</w:t>
      </w:r>
    </w:p>
    <w:p>
      <w:pPr>
        <w:keepLines/>
      </w:pPr>
      <w:r>
        <w:t>Name: __________________________   Date: ______________</w:t>
      </w:r>
    </w:p>
    <w:p>
      <w:pPr>
        <w:keepLines/>
      </w:pPr>
      <w:r>
        <w:t>Passenger list for M.V. Empire Windrush, June 1948. The National Archives, BT 26/1237. This is an original-document image, not a newly invented record. Use the accessible extract on the next page if handwriting is difficult.</w:t>
      </w:r>
    </w:p>
    <w:p>
      <w:pPr>
        <w:spacing w:after="120"/>
      </w:pPr>
      <w:r>
        <w:drawing>
          <wp:inline xmlns:a="http://schemas.openxmlformats.org/drawingml/2006/main" xmlns:pic="http://schemas.openxmlformats.org/drawingml/2006/picture">
            <wp:extent cx="4508952" cy="5577839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windrush-list.jp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508952" cy="5577839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r>
        <w:br w:type="page"/>
      </w:r>
    </w:p>
    <w:p>
      <w:pPr>
        <w:pStyle w:val="Kicker"/>
        <w:keepLines/>
      </w:pPr>
      <w:r>
        <w:t>LAUNCH HUMANITIES / PUPIL SHEET 2</w:t>
      </w:r>
    </w:p>
    <w:p>
      <w:pPr>
        <w:pStyle w:val="Title"/>
        <w:keepLines/>
      </w:pPr>
      <w:r>
        <w:t>Source A: accessible record sheet</w:t>
      </w:r>
    </w:p>
    <w:p>
      <w:pPr>
        <w:pStyle w:val="Subtitle"/>
        <w:keepLines/>
      </w:pPr>
      <w:r>
        <w:t>Autumn 1 · Week 3 · What can a source show?</w:t>
      </w:r>
    </w:p>
    <w:p>
      <w:pPr>
        <w:keepLines/>
      </w:pPr>
      <w:r>
        <w:t>Selected transcription of two rows: Kenneth Amos | 21 | Welder. Rubert Adolphus | 24 | Carpenter. Spellings follow the archive transcript; a historian may compare the handwriting. Source W in the notes links the original.</w:t>
      </w:r>
    </w:p>
    <w:tbl>
      <w:tblPr>
        <w:tblW w:type="dxa" w:w="9864"/>
        <w:jc w:val="left"/>
        <w:tblLayout w:type="fixed"/>
        <w:tblLook w:firstColumn="1" w:firstRow="1" w:lastColumn="0" w:lastRow="0" w:noHBand="0" w:noVBand="1" w:val="04A0"/>
        <w:tblBorders>
          <w:top w:val="single" w:sz="5" w:color="A7B9B1"/>
          <w:left w:val="single" w:sz="5" w:color="A7B9B1"/>
          <w:bottom w:val="single" w:sz="5" w:color="A7B9B1"/>
          <w:right w:val="single" w:sz="5" w:color="A7B9B1"/>
          <w:insideH w:val="single" w:sz="5" w:color="A7B9B1"/>
          <w:insideV w:val="single" w:sz="5" w:color="A7B9B1"/>
        </w:tblBorders>
      </w:tblPr>
      <w:tblGrid>
        <w:gridCol w:w="4932"/>
        <w:gridCol w:w="4932"/>
      </w:tblGrid>
      <w:tr>
        <w:trPr>
          <w:trHeight w:hRule="atLeast" w:val="418"/>
          <w:cantSplit/>
          <w:tblHeader/>
        </w:trPr>
        <w:tc>
          <w:tcPr>
            <w:tcW w:type="dxa" w:w="4932"/>
            <w:tcMar>
              <w:top w:w="95" w:type="dxa"/>
              <w:left w:w="95" w:type="dxa"/>
              <w:bottom w:w="95" w:type="dxa"/>
              <w:right w:w="95" w:type="dxa"/>
            </w:tcMar>
            <w:shd w:fill="28685E"/>
          </w:tcPr>
          <w:p>
            <w:pPr>
              <w:keepLines/>
              <w:spacing w:after="40" w:line="252" w:lineRule="auto"/>
            </w:pPr>
            <w:r>
              <w:rPr>
                <w:rFonts w:ascii="Arial" w:hAnsi="Arial"/>
                <w:b/>
                <w:color w:val="FFFFFF"/>
                <w:sz w:val="22"/>
              </w:rPr>
              <w:t>Field</w:t>
            </w:r>
          </w:p>
        </w:tc>
        <w:tc>
          <w:tcPr>
            <w:tcW w:type="dxa" w:w="4932"/>
            <w:tcMar>
              <w:top w:w="95" w:type="dxa"/>
              <w:left w:w="95" w:type="dxa"/>
              <w:bottom w:w="95" w:type="dxa"/>
              <w:right w:w="95" w:type="dxa"/>
            </w:tcMar>
            <w:shd w:fill="28685E"/>
          </w:tcPr>
          <w:p>
            <w:pPr>
              <w:keepLines/>
              <w:spacing w:after="40" w:line="252" w:lineRule="auto"/>
            </w:pPr>
            <w:r>
              <w:rPr>
                <w:rFonts w:ascii="Arial" w:hAnsi="Arial"/>
                <w:b/>
                <w:color w:val="FFFFFF"/>
                <w:sz w:val="22"/>
              </w:rPr>
              <w:t>What we can establish</w:t>
            </w:r>
          </w:p>
        </w:tc>
      </w:tr>
      <w:tr>
        <w:trPr>
          <w:trHeight w:hRule="atLeast" w:val="418"/>
          <w:cantSplit/>
        </w:trPr>
        <w:tc>
          <w:tcPr>
            <w:tcW w:type="dxa" w:w="4932"/>
            <w:tcMar>
              <w:top w:w="95" w:type="dxa"/>
              <w:left w:w="95" w:type="dxa"/>
              <w:bottom w:w="95" w:type="dxa"/>
              <w:right w:w="95" w:type="dxa"/>
            </w:tcMar>
          </w:tcPr>
          <w:p>
            <w:pPr>
              <w:keepLines/>
              <w:spacing w:after="40" w:line="252" w:lineRule="auto"/>
            </w:pPr>
            <w:r>
              <w:rPr>
                <w:rFonts w:ascii="Arial" w:hAnsi="Arial"/>
                <w:sz w:val="22"/>
              </w:rPr>
              <w:t>Document</w:t>
            </w:r>
          </w:p>
        </w:tc>
        <w:tc>
          <w:tcPr>
            <w:tcW w:type="dxa" w:w="4932"/>
            <w:tcMar>
              <w:top w:w="95" w:type="dxa"/>
              <w:left w:w="95" w:type="dxa"/>
              <w:bottom w:w="95" w:type="dxa"/>
              <w:right w:w="95" w:type="dxa"/>
            </w:tcMar>
          </w:tcPr>
          <w:p>
            <w:pPr>
              <w:keepLines/>
              <w:spacing w:after="40" w:line="252" w:lineRule="auto"/>
            </w:pPr>
            <w:r>
              <w:rPr>
                <w:rFonts w:ascii="Arial" w:hAnsi="Arial"/>
                <w:sz w:val="22"/>
              </w:rPr>
              <w:t>An inward passenger list for M.V. Empire Windrush</w:t>
            </w:r>
          </w:p>
        </w:tc>
      </w:tr>
      <w:tr>
        <w:trPr>
          <w:trHeight w:hRule="atLeast" w:val="418"/>
          <w:cantSplit/>
        </w:trPr>
        <w:tc>
          <w:tcPr>
            <w:tcW w:type="dxa" w:w="4932"/>
            <w:tcMar>
              <w:top w:w="95" w:type="dxa"/>
              <w:left w:w="95" w:type="dxa"/>
              <w:bottom w:w="95" w:type="dxa"/>
              <w:right w:w="95" w:type="dxa"/>
            </w:tcMar>
          </w:tcPr>
          <w:p>
            <w:pPr>
              <w:keepLines/>
              <w:spacing w:after="40" w:line="252" w:lineRule="auto"/>
            </w:pPr>
            <w:r>
              <w:rPr>
                <w:rFonts w:ascii="Arial" w:hAnsi="Arial"/>
                <w:sz w:val="22"/>
              </w:rPr>
              <w:t>Date</w:t>
            </w:r>
          </w:p>
        </w:tc>
        <w:tc>
          <w:tcPr>
            <w:tcW w:type="dxa" w:w="4932"/>
            <w:tcMar>
              <w:top w:w="95" w:type="dxa"/>
              <w:left w:w="95" w:type="dxa"/>
              <w:bottom w:w="95" w:type="dxa"/>
              <w:right w:w="95" w:type="dxa"/>
            </w:tcMar>
          </w:tcPr>
          <w:p>
            <w:pPr>
              <w:keepLines/>
              <w:spacing w:after="40" w:line="252" w:lineRule="auto"/>
            </w:pPr>
            <w:r>
              <w:rPr>
                <w:rFonts w:ascii="Arial" w:hAnsi="Arial"/>
                <w:sz w:val="22"/>
              </w:rPr>
              <w:t>June 1948; arrival at Tilbury on 22 June</w:t>
            </w:r>
          </w:p>
        </w:tc>
      </w:tr>
      <w:tr>
        <w:trPr>
          <w:trHeight w:hRule="atLeast" w:val="418"/>
          <w:cantSplit/>
        </w:trPr>
        <w:tc>
          <w:tcPr>
            <w:tcW w:type="dxa" w:w="4932"/>
            <w:tcMar>
              <w:top w:w="95" w:type="dxa"/>
              <w:left w:w="95" w:type="dxa"/>
              <w:bottom w:w="95" w:type="dxa"/>
              <w:right w:w="95" w:type="dxa"/>
            </w:tcMar>
          </w:tcPr>
          <w:p>
            <w:pPr>
              <w:keepLines/>
              <w:spacing w:after="40" w:line="252" w:lineRule="auto"/>
            </w:pPr>
            <w:r>
              <w:rPr>
                <w:rFonts w:ascii="Arial" w:hAnsi="Arial"/>
                <w:sz w:val="22"/>
              </w:rPr>
              <w:t>Origin</w:t>
            </w:r>
          </w:p>
        </w:tc>
        <w:tc>
          <w:tcPr>
            <w:tcW w:type="dxa" w:w="4932"/>
            <w:tcMar>
              <w:top w:w="95" w:type="dxa"/>
              <w:left w:w="95" w:type="dxa"/>
              <w:bottom w:w="95" w:type="dxa"/>
              <w:right w:w="95" w:type="dxa"/>
            </w:tcMar>
          </w:tcPr>
          <w:p>
            <w:pPr>
              <w:keepLines/>
              <w:spacing w:after="40" w:line="252" w:lineRule="auto"/>
            </w:pPr>
            <w:r>
              <w:rPr>
                <w:rFonts w:ascii="Arial" w:hAnsi="Arial"/>
                <w:sz w:val="22"/>
              </w:rPr>
              <w:t>Shipping passenger record; New Zealand Shipping Company voyage</w:t>
            </w:r>
          </w:p>
        </w:tc>
      </w:tr>
      <w:tr>
        <w:trPr>
          <w:trHeight w:hRule="atLeast" w:val="418"/>
          <w:cantSplit/>
        </w:trPr>
        <w:tc>
          <w:tcPr>
            <w:tcW w:type="dxa" w:w="4932"/>
            <w:tcMar>
              <w:top w:w="95" w:type="dxa"/>
              <w:left w:w="95" w:type="dxa"/>
              <w:bottom w:w="95" w:type="dxa"/>
              <w:right w:w="95" w:type="dxa"/>
            </w:tcMar>
          </w:tcPr>
          <w:p>
            <w:pPr>
              <w:keepLines/>
              <w:spacing w:after="40" w:line="252" w:lineRule="auto"/>
            </w:pPr>
            <w:r>
              <w:rPr>
                <w:rFonts w:ascii="Arial" w:hAnsi="Arial"/>
                <w:sz w:val="22"/>
              </w:rPr>
              <w:t>Custodian</w:t>
            </w:r>
          </w:p>
        </w:tc>
        <w:tc>
          <w:tcPr>
            <w:tcW w:type="dxa" w:w="4932"/>
            <w:tcMar>
              <w:top w:w="95" w:type="dxa"/>
              <w:left w:w="95" w:type="dxa"/>
              <w:bottom w:w="95" w:type="dxa"/>
              <w:right w:w="95" w:type="dxa"/>
            </w:tcMar>
          </w:tcPr>
          <w:p>
            <w:pPr>
              <w:keepLines/>
              <w:spacing w:after="40" w:line="252" w:lineRule="auto"/>
            </w:pPr>
            <w:r>
              <w:rPr>
                <w:rFonts w:ascii="Arial" w:hAnsi="Arial"/>
                <w:sz w:val="22"/>
              </w:rPr>
              <w:t>The National Archives</w:t>
            </w:r>
          </w:p>
        </w:tc>
      </w:tr>
      <w:tr>
        <w:trPr>
          <w:trHeight w:hRule="atLeast" w:val="418"/>
          <w:cantSplit/>
        </w:trPr>
        <w:tc>
          <w:tcPr>
            <w:tcW w:type="dxa" w:w="4932"/>
            <w:tcMar>
              <w:top w:w="95" w:type="dxa"/>
              <w:left w:w="95" w:type="dxa"/>
              <w:bottom w:w="95" w:type="dxa"/>
              <w:right w:w="95" w:type="dxa"/>
            </w:tcMar>
          </w:tcPr>
          <w:p>
            <w:pPr>
              <w:keepLines/>
              <w:spacing w:after="40" w:line="252" w:lineRule="auto"/>
            </w:pPr>
            <w:r>
              <w:rPr>
                <w:rFonts w:ascii="Arial" w:hAnsi="Arial"/>
                <w:sz w:val="22"/>
              </w:rPr>
              <w:t>Reference</w:t>
            </w:r>
          </w:p>
        </w:tc>
        <w:tc>
          <w:tcPr>
            <w:tcW w:type="dxa" w:w="4932"/>
            <w:tcMar>
              <w:top w:w="95" w:type="dxa"/>
              <w:left w:w="95" w:type="dxa"/>
              <w:bottom w:w="95" w:type="dxa"/>
              <w:right w:w="95" w:type="dxa"/>
            </w:tcMar>
          </w:tcPr>
          <w:p>
            <w:pPr>
              <w:keepLines/>
              <w:spacing w:after="40" w:line="252" w:lineRule="auto"/>
            </w:pPr>
            <w:r>
              <w:rPr>
                <w:rFonts w:ascii="Arial" w:hAnsi="Arial"/>
                <w:sz w:val="22"/>
              </w:rPr>
              <w:t>BT 26/1237</w:t>
            </w:r>
          </w:p>
        </w:tc>
      </w:tr>
      <w:tr>
        <w:trPr>
          <w:trHeight w:hRule="atLeast" w:val="418"/>
          <w:cantSplit/>
        </w:trPr>
        <w:tc>
          <w:tcPr>
            <w:tcW w:type="dxa" w:w="4932"/>
            <w:tcMar>
              <w:top w:w="95" w:type="dxa"/>
              <w:left w:w="95" w:type="dxa"/>
              <w:bottom w:w="95" w:type="dxa"/>
              <w:right w:w="95" w:type="dxa"/>
            </w:tcMar>
          </w:tcPr>
          <w:p>
            <w:pPr>
              <w:keepLines/>
              <w:spacing w:after="40" w:line="252" w:lineRule="auto"/>
            </w:pPr>
            <w:r>
              <w:rPr>
                <w:rFonts w:ascii="Arial" w:hAnsi="Arial"/>
                <w:sz w:val="22"/>
              </w:rPr>
              <w:t>Fields on this page</w:t>
            </w:r>
          </w:p>
        </w:tc>
        <w:tc>
          <w:tcPr>
            <w:tcW w:type="dxa" w:w="4932"/>
            <w:tcMar>
              <w:top w:w="95" w:type="dxa"/>
              <w:left w:w="95" w:type="dxa"/>
              <w:bottom w:w="95" w:type="dxa"/>
              <w:right w:w="95" w:type="dxa"/>
            </w:tcMar>
          </w:tcPr>
          <w:p>
            <w:pPr>
              <w:keepLines/>
              <w:spacing w:after="40" w:line="252" w:lineRule="auto"/>
            </w:pPr>
            <w:r>
              <w:rPr>
                <w:rFonts w:ascii="Arial" w:hAnsi="Arial"/>
                <w:sz w:val="22"/>
              </w:rPr>
              <w:t>Names, ages, occupations, proposed addresses, residence</w:t>
            </w:r>
          </w:p>
        </w:tc>
      </w:tr>
      <w:tr>
        <w:trPr>
          <w:trHeight w:hRule="atLeast" w:val="418"/>
          <w:cantSplit/>
        </w:trPr>
        <w:tc>
          <w:tcPr>
            <w:tcW w:type="dxa" w:w="4932"/>
            <w:tcMar>
              <w:top w:w="95" w:type="dxa"/>
              <w:left w:w="95" w:type="dxa"/>
              <w:bottom w:w="95" w:type="dxa"/>
              <w:right w:w="95" w:type="dxa"/>
            </w:tcMar>
          </w:tcPr>
          <w:p>
            <w:pPr>
              <w:keepLines/>
              <w:spacing w:after="40" w:line="252" w:lineRule="auto"/>
            </w:pPr>
            <w:r>
              <w:rPr>
                <w:rFonts w:ascii="Arial" w:hAnsi="Arial"/>
                <w:sz w:val="22"/>
              </w:rPr>
              <w:t>Digitisation date</w:t>
            </w:r>
          </w:p>
        </w:tc>
        <w:tc>
          <w:tcPr>
            <w:tcW w:type="dxa" w:w="4932"/>
            <w:tcMar>
              <w:top w:w="95" w:type="dxa"/>
              <w:left w:w="95" w:type="dxa"/>
              <w:bottom w:w="95" w:type="dxa"/>
              <w:right w:w="95" w:type="dxa"/>
            </w:tcMar>
          </w:tcPr>
          <w:p>
            <w:pPr>
              <w:keepLines/>
              <w:spacing w:after="40" w:line="252" w:lineRule="auto"/>
            </w:pPr>
            <w:r>
              <w:rPr>
                <w:rFonts w:ascii="Arial" w:hAnsi="Arial"/>
                <w:sz w:val="22"/>
              </w:rPr>
              <w:t>Not established here; not needed to date the voyage</w:t>
            </w:r>
          </w:p>
        </w:tc>
      </w:tr>
    </w:tbl>
    <w:p>
      <w:pPr>
        <w:keepLines/>
        <w:spacing w:after="0"/>
      </w:pPr>
    </w:p>
    <w:p>
      <w:r>
        <w:br w:type="page"/>
      </w:r>
    </w:p>
    <w:p>
      <w:pPr>
        <w:pStyle w:val="Kicker"/>
        <w:keepLines/>
      </w:pPr>
      <w:r>
        <w:t>LAUNCH HUMANITIES / PUPIL SHEET 3</w:t>
      </w:r>
    </w:p>
    <w:p>
      <w:pPr>
        <w:pStyle w:val="Title"/>
        <w:keepLines/>
      </w:pPr>
      <w:r>
        <w:t>Correct and evaluate</w:t>
      </w:r>
    </w:p>
    <w:p>
      <w:pPr>
        <w:pStyle w:val="Subtitle"/>
        <w:keepLines/>
      </w:pPr>
      <w:r>
        <w:t>Autumn 1 · Week 3 · What can a source show?</w:t>
      </w:r>
    </w:p>
    <w:p>
      <w:pPr>
        <w:keepLines/>
      </w:pPr>
      <w:r>
        <w:rPr>
          <w:b/>
        </w:rPr>
        <w:t>Error: The National Archives created the passenger list. Correction and field:</w:t>
      </w:r>
    </w:p>
    <w:p>
      <w:pPr>
        <w:pStyle w:val="ResponseLine"/>
        <w:keepLines/>
      </w:pPr>
      <w:r>
        <w:t xml:space="preserve"> </w:t>
      </w:r>
    </w:p>
    <w:p>
      <w:pPr>
        <w:keepLines/>
      </w:pPr>
      <w:r>
        <w:rPr>
          <w:b/>
        </w:rPr>
        <w:t>Error: The online upload date tells us the year of the journey. Correction and field:</w:t>
      </w:r>
    </w:p>
    <w:p>
      <w:pPr>
        <w:pStyle w:val="ResponseLine"/>
        <w:keepLines/>
      </w:pPr>
      <w:r>
        <w:t xml:space="preserve"> </w:t>
      </w:r>
    </w:p>
    <w:p>
      <w:pPr>
        <w:keepLines/>
      </w:pPr>
      <w:r>
        <w:rPr>
          <w:b/>
        </w:rPr>
        <w:t>Error: A listed occupation proves why a person travelled. Correction and field:</w:t>
      </w:r>
    </w:p>
    <w:p>
      <w:pPr>
        <w:pStyle w:val="ResponseLine"/>
        <w:keepLines/>
      </w:pPr>
      <w:r>
        <w:t xml:space="preserve"> </w:t>
      </w:r>
    </w:p>
    <w:p>
      <w:pPr>
        <w:keepLines/>
      </w:pPr>
      <w:r>
        <w:rPr>
          <w:b/>
        </w:rPr>
        <w:t>Useful for __________ because __________.</w:t>
      </w:r>
    </w:p>
    <w:p>
      <w:pPr>
        <w:pStyle w:val="ResponseLine"/>
        <w:keepLines/>
      </w:pPr>
      <w:r>
        <w:t xml:space="preserve"> </w:t>
      </w:r>
    </w:p>
    <w:p>
      <w:pPr>
        <w:keepLines/>
      </w:pPr>
      <w:r>
        <w:rPr>
          <w:b/>
        </w:rPr>
        <w:t>Limited for __________ because __________.</w:t>
      </w:r>
    </w:p>
    <w:p>
      <w:pPr>
        <w:pStyle w:val="ResponseLine"/>
        <w:keepLines/>
      </w:pPr>
      <w:r>
        <w:t xml:space="preserve"> </w:t>
      </w:r>
    </w:p>
    <w:p>
      <w:pPr>
        <w:keepLines/>
      </w:pPr>
      <w:r>
        <w:rPr>
          <w:b/>
        </w:rPr>
        <w:t>Another source I would seek, and why:</w:t>
      </w:r>
    </w:p>
    <w:p>
      <w:pPr>
        <w:pStyle w:val="ResponseLine"/>
        <w:keepLines/>
      </w:pPr>
      <w:r>
        <w:t xml:space="preserve"> </w:t>
      </w:r>
    </w:p>
    <w:sectPr w:rsidR="00FC693F" w:rsidRPr="0006063C" w:rsidSect="00034616">
      <w:headerReference w:type="default" r:id="rId9"/>
      <w:footerReference w:type="default" r:id="rId10"/>
      <w:pgSz w:w="11906" w:h="16838"/>
      <w:pgMar w:top="1020" w:right="1020" w:bottom="1020" w:left="1020" w:header="369" w:footer="36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Small"/>
    </w:pPr>
    <w:r>
      <w:rPr>
        <w:rFonts w:ascii="Arial" w:hAnsi="Arial"/>
        <w:color w:val="54656C"/>
        <w:sz w:val="17"/>
      </w:rPr>
      <w:t xml:space="preserve">Autumn 1 · Week 3  |  Pupil sheet  |  </w:t>
    </w:r>
    <w:fldSimple w:instr="PAGE"/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Kicker"/>
      <w:pBdr>
        <w:bottom w:val="single" w:sz="8" w:color="DCE7DD" w:space="5"/>
      </w:pBdr>
    </w:pPr>
    <w:r>
      <w:rPr>
        <w:rFonts w:ascii="Arial" w:hAnsi="Arial"/>
      </w:rPr>
    </w:r>
    <w:r>
      <w:rPr>
        <w:rFonts w:ascii="Arial" w:hAnsi="Arial"/>
      </w:rPr>
      <w:t xml:space="preserve">  MADE BY MATT  /  LAUNCH HUMANITIES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lvl w:ilvl="0">
      <w:start w:val="1"/>
      <w:numFmt w:val="bullet"/>
      <w:lvlText w:val="•"/>
      <w:lvlJc w:val="left"/>
      <w:pPr>
        <w:ind w:left="360" w:hanging="180"/>
      </w:pPr>
      <w:rPr>
        <w:rFonts w:ascii="Arial" w:hAnsi="Arial"/>
      </w:rPr>
    </w:lvl>
  </w:abstractNum>
  <w:num w:numId="10">
    <w:abstractNumId w:val="9"/>
  </w:num>
  <w:abstractNum w:abstractNumId="10">
    <w:lvl w:ilvl="0">
      <w:start w:val="1"/>
      <w:numFmt w:val="bullet"/>
      <w:lvlText w:val="•"/>
      <w:lvlJc w:val="left"/>
      <w:pPr>
        <w:ind w:left="360" w:hanging="180"/>
      </w:pPr>
      <w:rPr>
        <w:rFonts w:ascii="Arial" w:hAnsi="Arial"/>
      </w:rPr>
    </w:lvl>
  </w:abstract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widowControl/>
      <w:spacing w:before="0" w:after="120" w:line="259" w:lineRule="auto"/>
    </w:pPr>
    <w:rPr>
      <w:rFonts w:ascii="Arial" w:hAnsi="Arial" w:eastAsia="Arial" w:cs="Arial"/>
      <w:b w:val="0"/>
      <w:color w:val="152B3A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widowControl/>
      <w:spacing w:before="200" w:after="120" w:line="254" w:lineRule="auto"/>
      <w:outlineLvl w:val="0"/>
    </w:pPr>
    <w:rPr>
      <w:rFonts w:ascii="Arial" w:hAnsi="Arial" w:eastAsia="Arial" w:cs="Arial"/>
      <w:b/>
      <w:bCs/>
      <w:color w:val="28685E"/>
      <w:sz w:val="30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widowControl/>
      <w:spacing w:before="140" w:after="80" w:line="254" w:lineRule="auto"/>
      <w:outlineLvl w:val="1"/>
    </w:pPr>
    <w:rPr>
      <w:rFonts w:ascii="Arial" w:hAnsi="Arial" w:eastAsia="Arial" w:cs="Arial"/>
      <w:b/>
      <w:bCs/>
      <w:color w:val="152B3A"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keepNext/>
      <w:widowControl/>
      <w:spacing w:after="140" w:line="250" w:lineRule="auto" w:before="0"/>
      <w:contextualSpacing/>
    </w:pPr>
    <w:rPr>
      <w:rFonts w:ascii="Arial" w:hAnsi="Arial" w:eastAsia="Arial" w:cs="Arial"/>
      <w:b/>
      <w:color w:val="152B3A"/>
      <w:spacing w:val="5"/>
      <w:kern w:val="28"/>
      <w:sz w:val="4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keepNext/>
      <w:widowControl/>
      <w:numPr>
        <w:ilvl w:val="1"/>
      </w:numPr>
      <w:spacing w:before="0" w:after="200" w:line="252" w:lineRule="auto"/>
    </w:pPr>
    <w:rPr>
      <w:rFonts w:ascii="Arial" w:hAnsi="Arial" w:eastAsia="Arial" w:cs="Arial"/>
      <w:b w:val="0"/>
      <w:i w:val="0"/>
      <w:iCs/>
      <w:color w:val="54656C"/>
      <w:spacing w:val="15"/>
      <w:sz w:val="22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spacing w:after="120" w:line="259" w:lineRule="auto"/>
      <w:contextualSpacing/>
    </w:pPr>
    <w:rPr>
      <w:rFonts w:ascii="Arial" w:hAnsi="Arial"/>
      <w:sz w:val="22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Kicker">
    <w:name w:val="Kicker"/>
    <w:pPr>
      <w:keepNext/>
      <w:widowControl/>
      <w:spacing w:before="0" w:after="140" w:line="250" w:lineRule="auto"/>
    </w:pPr>
    <w:rPr>
      <w:rFonts w:ascii="Arial" w:hAnsi="Arial" w:eastAsia="Arial" w:cs="Arial"/>
      <w:b/>
      <w:color w:val="28685E"/>
      <w:sz w:val="18"/>
    </w:rPr>
  </w:style>
  <w:style w:type="paragraph" w:customStyle="1" w:styleId="Small">
    <w:name w:val="Small"/>
    <w:pPr>
      <w:widowControl/>
      <w:spacing w:before="0" w:after="120" w:line="254" w:lineRule="auto"/>
    </w:pPr>
    <w:rPr>
      <w:rFonts w:ascii="Arial" w:hAnsi="Arial" w:eastAsia="Arial" w:cs="Arial"/>
      <w:b w:val="0"/>
      <w:color w:val="54656C"/>
      <w:sz w:val="18"/>
    </w:rPr>
  </w:style>
  <w:style w:type="paragraph" w:customStyle="1" w:styleId="ResponseLine">
    <w:name w:val="ResponseLine"/>
    <w:pPr>
      <w:widowControl/>
      <w:spacing w:before="0" w:after="0" w:line="480" w:lineRule="exact"/>
    </w:pPr>
    <w:rPr>
      <w:rFonts w:ascii="Arial" w:hAnsi="Arial" w:eastAsia="Arial" w:cs="Arial"/>
      <w:b w:val="0"/>
      <w:color w:val="152B3A"/>
      <w:sz w:val="24"/>
    </w:rPr>
  </w:style>
  <w:style w:type="paragraph" w:customStyle="1" w:styleId="Callout">
    <w:name w:val="Callout"/>
    <w:pPr>
      <w:widowControl/>
      <w:spacing w:before="120" w:after="180" w:line="254" w:lineRule="auto"/>
    </w:pPr>
    <w:rPr>
      <w:rFonts w:ascii="Arial" w:hAnsi="Arial" w:eastAsia="Arial" w:cs="Arial"/>
      <w:b w:val="0"/>
      <w:color w:val="152B3A"/>
      <w:sz w:val="22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2" Type="http://schemas.openxmlformats.org/officeDocument/2006/relationships/image" Target="media/image3.jpg"/></Relationships>
</file>

<file path=word/_rels/header1.xml.rels><?xml version='1.0' encoding='UTF-8' standalone='yes'?>
<Relationships xmlns="http://schemas.openxmlformats.org/package/2006/relationships"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LAUNCH Humanities • Autumn 1</dc:title>
  <dc:subject>Humanities, Autumn 1, Weeks 3–7</dc:subject>
  <dc:creator>Made by Matt</dc:creator>
  <cp:keywords>Humanities; Autumn 1; 2026–27</cp:keywords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