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TEACHER GUIDE / ANSWERS SEPARATE</w:t>
      </w:r>
    </w:p>
    <w:p>
      <w:pPr>
        <w:pStyle w:val="Title"/>
        <w:keepLines/>
      </w:pPr>
      <w:r>
        <w:t>Whose history is included?</w:t>
      </w:r>
    </w:p>
    <w:p>
      <w:pPr>
        <w:pStyle w:val="Subtitle"/>
        <w:keepLines/>
      </w:pPr>
      <w:r>
        <w:t>Autumn 1 · Week 4 · 40 minutes</w:t>
      </w:r>
    </w:p>
    <w:p>
      <w:pPr>
        <w:pStyle w:val="Callout"/>
        <w:keepLines/>
      </w:pPr>
      <w:r>
        <w:t>Use dated evidence to challenge an overgeneralisation about diverse British history.</w:t>
      </w:r>
    </w:p>
    <w:p>
      <w:pPr>
        <w:pStyle w:val="Heading1"/>
        <w:keepLines/>
      </w:pPr>
      <w:r>
        <w:t>Prepare and teach</w:t>
      </w:r>
    </w:p>
    <w:p>
      <w:pPr>
        <w:keepLines/>
      </w:pPr>
      <w:r>
        <w:t>Friday 10:10-10:50. GROW Weekly - Autumn, Humanities C49. Humanities lesson; separate RE period is outside this pack.</w:t>
      </w:r>
    </w:p>
    <w:p>
      <w:pPr>
        <w:pStyle w:val="ListBullet"/>
        <w:keepLines/>
      </w:pPr>
      <w:r>
        <w:t>Open the 12-slide deck; print one pupil booklet per learner. Keep this guide separate from pupil copies.</w:t>
      </w:r>
    </w:p>
    <w:p>
      <w:pPr>
        <w:pStyle w:val="ListBullet"/>
        <w:keepLines/>
      </w:pPr>
      <w:r>
        <w:t>Read the source cards and answer guidance before teaching. Use the supplied offline sheets; live links are optional.</w:t>
      </w:r>
    </w:p>
    <w:p>
      <w:pPr>
        <w:pStyle w:val="ListBullet"/>
        <w:keepLines/>
      </w:pPr>
      <w:r>
        <w:t>Have pencils, highlighters and movable labels available.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1152"/>
        <w:gridCol w:w="1152"/>
        <w:gridCol w:w="7560"/>
      </w:tblGrid>
      <w:tr>
        <w:trPr>
          <w:trHeight w:hRule="atLeast" w:val="418"/>
          <w:cantSplit/>
          <w:tblHeader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Slides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Minutes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Use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1–3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Enquiry, retrieval and vocabulary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4–5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Read evidence and model thinking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6–7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Guided practice and hinge check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8–9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Independent response and explanation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10–12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Check, listen, improve and exit</w:t>
            </w:r>
          </w:p>
        </w:tc>
      </w:tr>
    </w:tbl>
    <w:p>
      <w:pPr>
        <w:keepLines/>
        <w:spacing w:after="0"/>
      </w:pPr>
    </w:p>
    <w:p>
      <w:pPr>
        <w:pStyle w:val="Heading1"/>
        <w:keepLines/>
      </w:pPr>
      <w:r>
        <w:t>Assessment evidence</w:t>
      </w:r>
    </w:p>
    <w:p>
      <w:pPr>
        <w:keepLines/>
      </w:pPr>
      <w:r>
        <w:t>Keep the first response and a later correction. Note the response method, adult support and one reason the pupil gave. A completed sheet alone does not demonstrate independent understanding.</w:t>
      </w:r>
    </w:p>
    <w:p>
      <w:r>
        <w:br w:type="page"/>
      </w:r>
    </w:p>
    <w:p>
      <w:pPr>
        <w:pStyle w:val="Kicker"/>
        <w:keepLines/>
      </w:pPr>
      <w:r>
        <w:t>TEACHING GUIDANCE</w:t>
      </w:r>
    </w:p>
    <w:p>
      <w:pPr>
        <w:pStyle w:val="Title"/>
        <w:keepLines/>
      </w:pPr>
      <w:r>
        <w:t>Teach, check, respond</w:t>
      </w:r>
    </w:p>
    <w:p>
      <w:pPr>
        <w:pStyle w:val="Heading1"/>
        <w:keepLines/>
      </w:pPr>
      <w:r>
        <w:t>Vocabulary</w:t>
      </w:r>
    </w:p>
    <w:p>
      <w:pPr>
        <w:keepLines/>
      </w:pPr>
      <w:r>
        <w:t>Chronology | order in time.</w:t>
        <w:br/>
        <w:t>Source | something we study.</w:t>
        <w:br/>
        <w:t>Claim | what we say happened.</w:t>
        <w:br/>
        <w:t>Limit | what evidence cannot show.</w:t>
      </w:r>
    </w:p>
    <w:p>
      <w:pPr>
        <w:pStyle w:val="Heading1"/>
        <w:keepLines/>
      </w:pPr>
      <w:r>
        <w:t>Model and guided practice</w:t>
      </w:r>
    </w:p>
    <w:p>
      <w:pPr>
        <w:keepLines/>
      </w:pPr>
      <w:r>
        <w:t>Model: THE CLAIM Black history in Britain starts in 1948. THE EVIDENCE J: 1511. O: 1789. The claim is too broad.</w:t>
      </w:r>
    </w:p>
    <w:p>
      <w:pPr>
        <w:keepLines/>
      </w:pPr>
      <w:r>
        <w:t>Together: Read J, O and W. Order them by the printed date. Choose which card best challenges the claim.</w:t>
      </w:r>
    </w:p>
    <w:p>
      <w:pPr>
        <w:pStyle w:val="Heading1"/>
        <w:keepLines/>
      </w:pPr>
      <w:r>
        <w:t>Hinge decision</w:t>
      </w:r>
    </w:p>
    <w:p>
      <w:pPr>
        <w:keepLines/>
      </w:pPr>
      <w:r>
        <w:t>What follows from Source J? A. A Black trumpeter is recorded in Tudor England. B. We know every Black person's Tudor experience. Choose the claim that fits.</w:t>
      </w:r>
    </w:p>
    <w:p>
      <w:pPr>
        <w:keepLines/>
      </w:pPr>
      <w:r>
        <w:t>Ask for simultaneous choices, then a reason. If the reason reveals the misconception, revisit one evidence detail before releasing the independent task.</w:t>
      </w:r>
    </w:p>
    <w:p>
      <w:pPr>
        <w:pStyle w:val="Heading1"/>
        <w:keepLines/>
      </w:pPr>
      <w:r>
        <w:t>Access without lowering the thinking</w:t>
      </w:r>
    </w:p>
    <w:p>
      <w:pPr>
        <w:keepLines/>
      </w:pPr>
      <w:r>
        <w:t>Read the three date cards and use a simple earlier/later line. Scribe the pupil's chosen claim.</w:t>
      </w:r>
    </w:p>
    <w:p>
      <w:pPr>
        <w:keepLines/>
      </w:pPr>
      <w:r>
        <w:t>Allow pointing, signing, speech, drawing, writing, dictation or directing an adult. Offer a pass on personal sharing. Use fictional examples; never require a migration story, home address or family disclosure.</w:t>
      </w:r>
    </w:p>
    <w:p>
      <w:pPr>
        <w:pStyle w:val="Heading1"/>
        <w:keepLines/>
      </w:pPr>
      <w:r>
        <w:t>Extend the reasoning</w:t>
      </w:r>
    </w:p>
    <w:p>
      <w:pPr>
        <w:keepLines/>
      </w:pPr>
      <w:r>
        <w:t>Compare a visual record and a published book: how do their purposes change the questions each helps answer?</w:t>
      </w:r>
    </w:p>
    <w:p>
      <w:pPr>
        <w:pStyle w:val="Heading1"/>
        <w:keepLines/>
      </w:pPr>
      <w:r>
        <w:t>Pupil voice with a response</w:t>
      </w:r>
    </w:p>
    <w:p>
      <w:pPr>
        <w:keepLines/>
      </w:pPr>
      <w:r>
        <w:t>Offer space and a response choice. Listen, then read the meaning back. Invite the pupil to correct your interpretation. Agree one useful teaching change and act on it next lesson; tell the pupil what their feedback changed.</w:t>
      </w:r>
    </w:p>
    <w:p>
      <w:r>
        <w:br w:type="page"/>
      </w:r>
    </w:p>
    <w:p>
      <w:pPr>
        <w:pStyle w:val="Kicker"/>
        <w:keepLines/>
      </w:pPr>
      <w:r>
        <w:t>KEEP SEPARATE FROM PUPIL SHEETS</w:t>
      </w:r>
    </w:p>
    <w:p>
      <w:pPr>
        <w:pStyle w:val="Title"/>
        <w:keepLines/>
      </w:pPr>
      <w:r>
        <w:t>Answers and misconceptions</w:t>
      </w:r>
    </w:p>
    <w:p>
      <w:pPr>
        <w:keepLines/>
      </w:pPr>
      <w:r>
        <w:t>1. Chronology J 1511, O 1789, W 1948. Both J and O independently challenge a start-date of 1948.</w:t>
      </w:r>
    </w:p>
    <w:p>
      <w:pPr>
        <w:keepLines/>
      </w:pPr>
      <w:r>
        <w:t>2. J supports a Black presence at the Tudor court. O supports a Black writer publishing and campaigning in eighteenth-century Britain. W records a particular later journey.</w:t>
      </w:r>
    </w:p>
    <w:p>
      <w:pPr>
        <w:keepLines/>
      </w:pPr>
      <w:r>
        <w:t>3. Neither J nor O counts the population; W is one page from one voyage. The secondary cards must not be called primary sources.</w:t>
      </w:r>
    </w:p>
    <w:p>
      <w:pPr>
        <w:keepLines/>
      </w:pPr>
      <w:r>
        <w:t>4. Hinge A. Accept well-supported alternative wording and comparisons of source purposes.</w:t>
      </w:r>
    </w:p>
    <w:p>
      <w:pPr>
        <w:pStyle w:val="Heading1"/>
        <w:keepLines/>
      </w:pPr>
      <w:r>
        <w:t>Watch for these errors</w:t>
      </w:r>
    </w:p>
    <w:p>
      <w:pPr>
        <w:pStyle w:val="ListBullet"/>
        <w:keepLines/>
      </w:pPr>
      <w:r>
        <w:t>One source cannot count a whole population or represent every experience.</w:t>
      </w:r>
    </w:p>
    <w:p>
      <w:pPr>
        <w:pStyle w:val="ListBullet"/>
        <w:keepLines/>
      </w:pPr>
      <w:r>
        <w:t>A gap in our selected cards is not proof that no people lived here in that period.</w:t>
      </w:r>
    </w:p>
    <w:p>
      <w:pPr>
        <w:pStyle w:val="ListBullet"/>
        <w:keepLines/>
      </w:pPr>
      <w:r>
        <w:t>A later summary is not the original artefact it describes.</w:t>
      </w:r>
    </w:p>
    <w:p>
      <w:pPr>
        <w:pStyle w:val="Heading1"/>
        <w:keepLines/>
      </w:pPr>
      <w:r>
        <w:t>Source details</w:t>
      </w:r>
    </w:p>
    <w:p>
      <w:pPr>
        <w:pStyle w:val="Small"/>
        <w:keepLines/>
      </w:pPr>
      <w:r>
        <w:t>The pathway Start Here guide contains the original lesson links, factual references and image credits. Source cards are newly written summaries unless explicitly labelled as original-document images. Refer to the larger source sheets when a projected detail is hard to read.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4  |  Teacher guide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GROW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GROW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