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TEACHER GUIDE / ANSWERS SEPARATE</w:t>
      </w:r>
    </w:p>
    <w:p>
      <w:pPr>
        <w:pStyle w:val="Title"/>
        <w:keepLines/>
      </w:pPr>
      <w:r>
        <w:t>Same, different, respected</w:t>
      </w:r>
    </w:p>
    <w:p>
      <w:pPr>
        <w:pStyle w:val="Subtitle"/>
        <w:keepLines/>
      </w:pPr>
      <w:r>
        <w:t>Autumn 1 · Week 5 · 40 minutes</w:t>
      </w:r>
    </w:p>
    <w:p>
      <w:pPr>
        <w:pStyle w:val="Callout"/>
        <w:keepLines/>
      </w:pPr>
      <w:r>
        <w:t>Notice similarities and differences respectfully and connect a Black British history example to an action.</w:t>
      </w:r>
    </w:p>
    <w:p>
      <w:pPr>
        <w:pStyle w:val="Heading1"/>
        <w:keepLines/>
      </w:pPr>
      <w:r>
        <w:t>Prepare and teach</w:t>
      </w:r>
    </w:p>
    <w:p>
      <w:pPr>
        <w:keepLines/>
      </w:pPr>
      <w:r>
        <w:t>Thursday 11:00-11:40. BUILD Weekly - Autumn, Humanities C50. Humanities lesson; separate RE period is outside this pack.</w:t>
      </w:r>
    </w:p>
    <w:p>
      <w:pPr>
        <w:pStyle w:val="ListBullet"/>
        <w:keepLines/>
      </w:pPr>
      <w:r>
        <w:t>Open the 12-slide deck; print one pupil booklet per learner. Keep this guide separate from pupil copies.</w:t>
      </w:r>
    </w:p>
    <w:p>
      <w:pPr>
        <w:pStyle w:val="ListBullet"/>
        <w:keepLines/>
      </w:pPr>
      <w:r>
        <w:t>Read the source cards and answer guidance before teaching. Use the supplied offline sheets; live links are optional.</w:t>
      </w:r>
    </w:p>
    <w:p>
      <w:pPr>
        <w:pStyle w:val="ListBullet"/>
        <w:keepLines/>
      </w:pPr>
      <w:r>
        <w:t>Have pencils, highlighters and movable labels available.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1152"/>
        <w:gridCol w:w="1152"/>
        <w:gridCol w:w="7560"/>
      </w:tblGrid>
      <w:tr>
        <w:trPr>
          <w:trHeight w:hRule="atLeast" w:val="418"/>
          <w:cantSplit/>
          <w:tblHeader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Slides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Minutes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Use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1–3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Enquiry, retrieval and vocabulary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4–5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Read evidence and model thinking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6–7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Guided practice and hinge check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8–9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Independent response and explanation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10–12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Check, listen, improve and exit</w:t>
            </w:r>
          </w:p>
        </w:tc>
      </w:tr>
    </w:tbl>
    <w:p>
      <w:pPr>
        <w:keepLines/>
        <w:spacing w:after="0"/>
      </w:pPr>
    </w:p>
    <w:p>
      <w:pPr>
        <w:pStyle w:val="Heading1"/>
        <w:keepLines/>
      </w:pPr>
      <w:r>
        <w:t>Assessment evidence</w:t>
      </w:r>
    </w:p>
    <w:p>
      <w:pPr>
        <w:keepLines/>
      </w:pPr>
      <w:r>
        <w:t>Keep the first response and a later correction. Note the response method, adult support and one reason the pupil gave. A completed sheet alone does not demonstrate independent understanding.</w:t>
      </w:r>
    </w:p>
    <w:p>
      <w:r>
        <w:br w:type="page"/>
      </w:r>
    </w:p>
    <w:p>
      <w:pPr>
        <w:pStyle w:val="Kicker"/>
        <w:keepLines/>
      </w:pPr>
      <w:r>
        <w:t>TEACHING GUIDANCE</w:t>
      </w:r>
    </w:p>
    <w:p>
      <w:pPr>
        <w:pStyle w:val="Title"/>
        <w:keepLines/>
      </w:pPr>
      <w:r>
        <w:t>Teach, check, respond</w:t>
      </w:r>
    </w:p>
    <w:p>
      <w:pPr>
        <w:pStyle w:val="Heading1"/>
        <w:keepLines/>
      </w:pPr>
      <w:r>
        <w:t>Vocabulary</w:t>
      </w:r>
    </w:p>
    <w:p>
      <w:pPr>
        <w:keepLines/>
      </w:pPr>
      <w:r>
        <w:t>Same | a shared feature.</w:t>
        <w:br/>
        <w:t>Different | not the same.</w:t>
        <w:br/>
        <w:t>Respect | treat people as mattering.</w:t>
        <w:br/>
        <w:t>Fair | include people properly.</w:t>
      </w:r>
    </w:p>
    <w:p>
      <w:pPr>
        <w:pStyle w:val="Heading1"/>
        <w:keepLines/>
      </w:pPr>
      <w:r>
        <w:t>Model and guided practice</w:t>
      </w:r>
    </w:p>
    <w:p>
      <w:pPr>
        <w:keepLines/>
      </w:pPr>
      <w:r>
        <w:t>Model: Same: both people enjoy stories. Different: how they choose to enjoy them. Respect: offer both reading and listening.</w:t>
      </w:r>
    </w:p>
    <w:p>
      <w:pPr>
        <w:keepLines/>
      </w:pPr>
      <w:r>
        <w:t>Together: A new pupil wants to point instead of speak. Choose: wait and listen, or demand a speech? Which action makes joining in possible?</w:t>
      </w:r>
    </w:p>
    <w:p>
      <w:pPr>
        <w:pStyle w:val="Heading1"/>
        <w:keepLines/>
      </w:pPr>
      <w:r>
        <w:t>Hinge decision</w:t>
      </w:r>
    </w:p>
    <w:p>
      <w:pPr>
        <w:keepLines/>
      </w:pPr>
      <w:r>
        <w:t>Which action shows respect? A. Only my favourite activity counts. B. We listen and offer a choice. Choose one. Give a reason.</w:t>
      </w:r>
    </w:p>
    <w:p>
      <w:pPr>
        <w:keepLines/>
      </w:pPr>
      <w:r>
        <w:t>Ask for simultaneous choices, then a reason. If the reason reveals the misconception, revisit one evidence detail before releasing the independent task.</w:t>
      </w:r>
    </w:p>
    <w:p>
      <w:pPr>
        <w:pStyle w:val="Heading1"/>
        <w:keepLines/>
      </w:pPr>
      <w:r>
        <w:t>Access without lowering the thinking</w:t>
      </w:r>
    </w:p>
    <w:p>
      <w:pPr>
        <w:keepLines/>
      </w:pPr>
      <w:r>
        <w:t>Read two fictional choices; offer a respectful-action choice of two. Accept pointing.</w:t>
      </w:r>
    </w:p>
    <w:p>
      <w:pPr>
        <w:keepLines/>
      </w:pPr>
      <w:r>
        <w:t>Allow pointing, signing, speech, drawing, writing, dictation or directing an adult. Offer a pass on personal sharing. Use fictional examples; never require a migration story, home address or family disclosure.</w:t>
      </w:r>
    </w:p>
    <w:p>
      <w:pPr>
        <w:pStyle w:val="Heading1"/>
        <w:keepLines/>
      </w:pPr>
      <w:r>
        <w:t>Extend the reasoning</w:t>
      </w:r>
    </w:p>
    <w:p>
      <w:pPr>
        <w:keepLines/>
      </w:pPr>
      <w:r>
        <w:t>Design a fair group rule that permits different ways to contribute, and explain why it is fair.</w:t>
      </w:r>
    </w:p>
    <w:p>
      <w:pPr>
        <w:pStyle w:val="Heading1"/>
        <w:keepLines/>
      </w:pPr>
      <w:r>
        <w:t>Pupil voice with a response</w:t>
      </w:r>
    </w:p>
    <w:p>
      <w:pPr>
        <w:keepLines/>
      </w:pPr>
      <w:r>
        <w:t>Offer space and a response choice. Listen, then read the meaning back. Invite the pupil to correct your interpretation. Agree one useful teaching change and act on it next lesson; tell the pupil what their feedback changed.</w:t>
      </w:r>
    </w:p>
    <w:p>
      <w:r>
        <w:br w:type="page"/>
      </w:r>
    </w:p>
    <w:p>
      <w:pPr>
        <w:pStyle w:val="Kicker"/>
        <w:keepLines/>
      </w:pPr>
      <w:r>
        <w:t>KEEP SEPARATE FROM PUPIL SHEETS</w:t>
      </w:r>
    </w:p>
    <w:p>
      <w:pPr>
        <w:pStyle w:val="Title"/>
        <w:keepLines/>
      </w:pPr>
      <w:r>
        <w:t>Answers and misconceptions</w:t>
      </w:r>
    </w:p>
    <w:p>
      <w:pPr>
        <w:keepLines/>
      </w:pPr>
      <w:r>
        <w:t>1. Shared interest: stories. Difference: audio/listening versus printed reading. Both can belong; provide formats and allow choice.</w:t>
      </w:r>
    </w:p>
    <w:p>
      <w:pPr>
        <w:keepLines/>
      </w:pPr>
      <w:r>
        <w:t>2. Helpful A, C, E. Unhelpful B, D, F. Repair B: listen without mocking; D: use fictional cards and allow pass; F: hear the reason before responding.</w:t>
      </w:r>
    </w:p>
    <w:p>
      <w:pPr>
        <w:keepLines/>
      </w:pPr>
      <w:r>
        <w:t>3. Seacole provided food, medicine and care in the Crimea in 1855 with a base at the British Hotel. Accept short accurate responses. Hinge B.</w:t>
      </w:r>
    </w:p>
    <w:p>
      <w:pPr>
        <w:pStyle w:val="Heading1"/>
        <w:keepLines/>
      </w:pPr>
      <w:r>
        <w:t>Watch for these errors</w:t>
      </w:r>
    </w:p>
    <w:p>
      <w:pPr>
        <w:pStyle w:val="ListBullet"/>
        <w:keepLines/>
      </w:pPr>
      <w:r>
        <w:t>We cannot infer a person's beliefs or preferences from appearance or name.</w:t>
      </w:r>
    </w:p>
    <w:p>
      <w:pPr>
        <w:pStyle w:val="ListBullet"/>
        <w:keepLines/>
      </w:pPr>
      <w:r>
        <w:t>Seacole's British Hotel was a business and a base for care, not a hospital she built.</w:t>
      </w:r>
    </w:p>
    <w:p>
      <w:pPr>
        <w:pStyle w:val="ListBullet"/>
        <w:keepLines/>
      </w:pPr>
      <w:r>
        <w:t>A person does not have to be exceptional to deserve respect.</w:t>
      </w:r>
    </w:p>
    <w:p>
      <w:pPr>
        <w:pStyle w:val="Small"/>
        <w:keepLines/>
      </w:pPr>
      <w:r>
        <w:t>Portrait: Mary Seacole by Albert Charles Challen, c.1869, National Portrait Gallery NPG 6856, via Wikimedia Commons. The portrait is later than the 1855 care described; do not infer the care from the image alone. Read summary M for the factual account.</w:t>
      </w:r>
    </w:p>
    <w:p>
      <w:pPr>
        <w:pStyle w:val="Heading1"/>
        <w:keepLines/>
      </w:pPr>
      <w:r>
        <w:t>Source details</w:t>
      </w:r>
    </w:p>
    <w:p>
      <w:pPr>
        <w:pStyle w:val="Small"/>
        <w:keepLines/>
      </w:pPr>
      <w:r>
        <w:t>The pathway Start Here guide contains the original lesson links, factual references and image credits. Source cards are newly written summaries unless explicitly labelled as original-document images. Refer to the larger source sheets when a projected detail is hard to read.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5  |  Teacher guide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BUILD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  <w:abstractNum w:abstractNumId="14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