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icker"/>
        <w:keepLines/>
      </w:pPr>
      <w:r>
        <w:t>BUILD HUMANITIES / PUPIL SHEET 1</w:t>
      </w:r>
    </w:p>
    <w:p>
      <w:pPr>
        <w:pStyle w:val="Title"/>
        <w:keepLines/>
      </w:pPr>
      <w:r>
        <w:t>Two real photographs</w:t>
      </w:r>
    </w:p>
    <w:p>
      <w:pPr>
        <w:pStyle w:val="Subtitle"/>
        <w:keepLines/>
      </w:pPr>
      <w:r>
        <w:t>Autumn 1 · Week 4 · Then and now</w:t>
      </w:r>
    </w:p>
    <w:p>
      <w:pPr>
        <w:keepLines/>
      </w:pPr>
      <w:r>
        <w:t>Name: __________________________   Date: ______________</w:t>
      </w:r>
    </w:p>
    <w:p>
      <w:pPr>
        <w:keepLines/>
      </w:pPr>
      <w:r>
        <w:t>Tees Transporter Bridge, photographed from different viewpoints. Both images are in the past. Credits and licence are in the Teacher Guide.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933"/>
        <w:gridCol w:w="4933"/>
      </w:tblGrid>
      <w:tr>
        <w:tc>
          <w:tcPr>
            <w:tcW w:type="dxa" w:w="4896"/>
          </w:tcPr>
          <w:p>
            <w:r>
              <w:drawing>
                <wp:inline xmlns:a="http://schemas.openxmlformats.org/drawingml/2006/main" xmlns:pic="http://schemas.openxmlformats.org/drawingml/2006/picture">
                  <wp:extent cx="2880360" cy="216027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idge2008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360" cy="216027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>
            <w:r>
              <w:rPr>
                <w:sz w:val="20"/>
              </w:rPr>
              <w:t>A | Oliver Dixon | 21 November 2008</w:t>
            </w:r>
          </w:p>
        </w:tc>
        <w:tc>
          <w:tcPr>
            <w:tcW w:type="dxa" w:w="4896"/>
          </w:tcPr>
          <w:p>
            <w:r>
              <w:drawing>
                <wp:inline xmlns:a="http://schemas.openxmlformats.org/drawingml/2006/main" xmlns:pic="http://schemas.openxmlformats.org/drawingml/2006/picture">
                  <wp:extent cx="2880360" cy="1907112"/>
                  <wp:docPr id="2" name="Picture 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idge2017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360" cy="1907112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>
            <w:r>
              <w:rPr>
                <w:sz w:val="20"/>
              </w:rPr>
              <w:t>B | Rod Grealish | 4 September 2017</w:t>
            </w:r>
          </w:p>
        </w:tc>
      </w:tr>
    </w:tbl>
    <w:p>
      <w:pPr>
        <w:keepLines/>
      </w:pPr>
      <w:r>
        <w:rPr>
          <w:b/>
        </w:rPr>
        <w:t>Earlier photo: ______ because ______.</w:t>
      </w:r>
    </w:p>
    <w:p>
      <w:pPr>
        <w:pStyle w:val="ResponseLine"/>
        <w:keepLines/>
      </w:pPr>
      <w:r>
        <w:t xml:space="preserve"> </w:t>
      </w:r>
    </w:p>
    <w:p>
      <w:pPr>
        <w:pStyle w:val="ResponseLine"/>
        <w:keepLines/>
      </w:pPr>
      <w:r>
        <w:t xml:space="preserve"> </w:t>
      </w:r>
    </w:p>
    <w:p>
      <w:pPr>
        <w:keepLines/>
      </w:pPr>
      <w:r>
        <w:rPr>
          <w:b/>
        </w:rPr>
        <w:t>A feature I can see in both:</w:t>
      </w:r>
    </w:p>
    <w:p>
      <w:pPr>
        <w:pStyle w:val="ResponseLine"/>
        <w:keepLines/>
      </w:pPr>
      <w:r>
        <w:t xml:space="preserve"> </w:t>
      </w:r>
    </w:p>
    <w:p>
      <w:pPr>
        <w:pStyle w:val="ResponseLine"/>
        <w:keepLines/>
      </w:pPr>
      <w:r>
        <w:t xml:space="preserve"> </w:t>
      </w:r>
    </w:p>
    <w:p>
      <w:r>
        <w:br w:type="page"/>
      </w:r>
    </w:p>
    <w:p>
      <w:pPr>
        <w:pStyle w:val="Kicker"/>
        <w:keepLines/>
      </w:pPr>
      <w:r>
        <w:t>BUILD HUMANITIES / PUPIL SHEET 2</w:t>
      </w:r>
    </w:p>
    <w:p>
      <w:pPr>
        <w:pStyle w:val="Title"/>
        <w:keepLines/>
      </w:pPr>
      <w:r>
        <w:t>Two model records</w:t>
      </w:r>
    </w:p>
    <w:p>
      <w:pPr>
        <w:pStyle w:val="Subtitle"/>
        <w:keepLines/>
      </w:pPr>
      <w:r>
        <w:t>Autumn 1 · Week 4 · Then and now</w:t>
      </w:r>
    </w:p>
    <w:p>
      <w:pPr>
        <w:keepLines/>
      </w:pPr>
      <w:r>
        <w:t>These are fictional teaching records of the same made-up place. They are not archive evidence about Teesside.</w:t>
      </w:r>
    </w:p>
    <w:tbl>
      <w:tblPr>
        <w:tblW w:type="dxa" w:w="9864"/>
        <w:jc w:val="left"/>
        <w:tblLayout w:type="fixed"/>
        <w:tblLook w:firstColumn="1" w:firstRow="1" w:lastColumn="0" w:lastRow="0" w:noHBand="0" w:noVBand="1" w:val="04A0"/>
        <w:tblBorders>
          <w:top w:val="single" w:sz="5" w:color="A7B9B1"/>
          <w:left w:val="single" w:sz="5" w:color="A7B9B1"/>
          <w:bottom w:val="single" w:sz="5" w:color="A7B9B1"/>
          <w:right w:val="single" w:sz="5" w:color="A7B9B1"/>
          <w:insideH w:val="single" w:sz="5" w:color="A7B9B1"/>
          <w:insideV w:val="single" w:sz="5" w:color="A7B9B1"/>
        </w:tblBorders>
      </w:tblPr>
      <w:tblGrid>
        <w:gridCol w:w="2016"/>
        <w:gridCol w:w="3672"/>
        <w:gridCol w:w="4176"/>
      </w:tblGrid>
      <w:tr>
        <w:trPr>
          <w:trHeight w:hRule="atLeast" w:val="418"/>
          <w:cantSplit/>
          <w:tblHeader/>
        </w:trPr>
        <w:tc>
          <w:tcPr>
            <w:tcW w:type="dxa" w:w="2016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Record</w:t>
            </w:r>
          </w:p>
        </w:tc>
        <w:tc>
          <w:tcPr>
            <w:tcW w:type="dxa" w:w="3672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Date</w:t>
            </w:r>
          </w:p>
        </w:tc>
        <w:tc>
          <w:tcPr>
            <w:tcW w:type="dxa" w:w="4176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Description</w:t>
            </w:r>
          </w:p>
        </w:tc>
      </w:tr>
      <w:tr>
        <w:trPr>
          <w:trHeight w:hRule="atLeast" w:val="418"/>
          <w:cantSplit/>
        </w:trPr>
        <w:tc>
          <w:tcPr>
            <w:tcW w:type="dxa" w:w="2016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t>C</w:t>
            </w:r>
          </w:p>
        </w:tc>
        <w:tc>
          <w:tcPr>
            <w:tcW w:type="dxa" w:w="367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t>1990</w:t>
            </w:r>
          </w:p>
        </w:tc>
        <w:tc>
          <w:tcPr>
            <w:tcW w:type="dxa" w:w="4176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t>A library and an empty grass area beside it.</w:t>
            </w:r>
          </w:p>
        </w:tc>
      </w:tr>
      <w:tr>
        <w:trPr>
          <w:trHeight w:hRule="atLeast" w:val="418"/>
          <w:cantSplit/>
        </w:trPr>
        <w:tc>
          <w:tcPr>
            <w:tcW w:type="dxa" w:w="2016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t>D</w:t>
            </w:r>
          </w:p>
        </w:tc>
        <w:tc>
          <w:tcPr>
            <w:tcW w:type="dxa" w:w="367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t>2026</w:t>
            </w:r>
          </w:p>
        </w:tc>
        <w:tc>
          <w:tcPr>
            <w:tcW w:type="dxa" w:w="4176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t>The same library and a play area beside it.</w:t>
            </w:r>
          </w:p>
        </w:tc>
      </w:tr>
    </w:tbl>
    <w:p>
      <w:pPr>
        <w:keepLines/>
        <w:spacing w:after="0"/>
      </w:pPr>
    </w:p>
    <w:p>
      <w:pPr>
        <w:keepLines/>
      </w:pPr>
      <w:r>
        <w:rPr>
          <w:b/>
        </w:rPr>
        <w:t>One thing that stayed:</w:t>
      </w:r>
    </w:p>
    <w:p>
      <w:pPr>
        <w:pStyle w:val="ResponseLine"/>
        <w:keepLines/>
      </w:pPr>
      <w:r>
        <w:t xml:space="preserve"> </w:t>
      </w:r>
    </w:p>
    <w:p>
      <w:pPr>
        <w:pStyle w:val="ResponseLine"/>
        <w:keepLines/>
      </w:pPr>
      <w:r>
        <w:t xml:space="preserve"> </w:t>
      </w:r>
    </w:p>
    <w:p>
      <w:pPr>
        <w:keepLines/>
      </w:pPr>
      <w:r>
        <w:rPr>
          <w:b/>
        </w:rPr>
        <w:t>One thing that changed:</w:t>
      </w:r>
    </w:p>
    <w:p>
      <w:pPr>
        <w:pStyle w:val="ResponseLine"/>
        <w:keepLines/>
      </w:pPr>
      <w:r>
        <w:t xml:space="preserve"> </w:t>
      </w:r>
    </w:p>
    <w:p>
      <w:pPr>
        <w:pStyle w:val="ResponseLine"/>
        <w:keepLines/>
      </w:pPr>
      <w:r>
        <w:t xml:space="preserve"> </w:t>
      </w:r>
    </w:p>
    <w:p>
      <w:pPr>
        <w:keepLines/>
      </w:pPr>
      <w:r>
        <w:rPr>
          <w:b/>
        </w:rPr>
        <w:t>A possible reason (a guess, not a proven fact):</w:t>
      </w:r>
    </w:p>
    <w:p>
      <w:pPr>
        <w:pStyle w:val="ResponseLine"/>
        <w:keepLines/>
      </w:pPr>
      <w:r>
        <w:t xml:space="preserve"> </w:t>
      </w:r>
    </w:p>
    <w:p>
      <w:pPr>
        <w:pStyle w:val="ResponseLine"/>
        <w:keepLines/>
      </w:pPr>
      <w:r>
        <w:t xml:space="preserve"> </w:t>
      </w:r>
    </w:p>
    <w:p>
      <w:r>
        <w:br w:type="page"/>
      </w:r>
    </w:p>
    <w:p>
      <w:pPr>
        <w:pStyle w:val="Kicker"/>
        <w:keepLines/>
      </w:pPr>
      <w:r>
        <w:t>BUILD HUMANITIES / PUPIL SHEET 3</w:t>
      </w:r>
    </w:p>
    <w:p>
      <w:pPr>
        <w:pStyle w:val="Title"/>
        <w:keepLines/>
      </w:pPr>
      <w:r>
        <w:t>What can the evidence support?</w:t>
      </w:r>
    </w:p>
    <w:p>
      <w:pPr>
        <w:pStyle w:val="Subtitle"/>
        <w:keepLines/>
      </w:pPr>
      <w:r>
        <w:t>Autumn 1 · Week 4 · Then and now</w:t>
      </w:r>
    </w:p>
    <w:p>
      <w:pPr>
        <w:keepLines/>
      </w:pPr>
      <w:r>
        <w:rPr>
          <w:b/>
        </w:rPr>
        <w:t>Why are the dates more useful than photo colour?</w:t>
      </w:r>
    </w:p>
    <w:p>
      <w:pPr>
        <w:pStyle w:val="ResponseLine"/>
        <w:keepLines/>
      </w:pPr>
      <w:r>
        <w:t xml:space="preserve"> </w:t>
      </w:r>
    </w:p>
    <w:p>
      <w:pPr>
        <w:pStyle w:val="ResponseLine"/>
        <w:keepLines/>
      </w:pPr>
      <w:r>
        <w:t xml:space="preserve"> </w:t>
      </w:r>
    </w:p>
    <w:p>
      <w:pPr>
        <w:keepLines/>
      </w:pPr>
      <w:r>
        <w:rPr>
          <w:b/>
        </w:rPr>
        <w:t>Why might two photographs look different even if the place has not changed?</w:t>
      </w:r>
    </w:p>
    <w:p>
      <w:pPr>
        <w:pStyle w:val="ResponseLine"/>
        <w:keepLines/>
      </w:pPr>
      <w:r>
        <w:t xml:space="preserve"> </w:t>
      </w:r>
    </w:p>
    <w:p>
      <w:pPr>
        <w:pStyle w:val="ResponseLine"/>
        <w:keepLines/>
      </w:pPr>
      <w:r>
        <w:t xml:space="preserve"> </w:t>
      </w:r>
    </w:p>
    <w:p>
      <w:pPr>
        <w:keepLines/>
      </w:pPr>
      <w:r>
        <w:rPr>
          <w:b/>
        </w:rPr>
        <w:t>My best evidence sentence:</w:t>
      </w:r>
    </w:p>
    <w:p>
      <w:pPr>
        <w:pStyle w:val="ResponseLine"/>
        <w:keepLines/>
      </w:pPr>
      <w:r>
        <w:t xml:space="preserve"> </w:t>
      </w:r>
    </w:p>
    <w:p>
      <w:pPr>
        <w:pStyle w:val="ResponseLine"/>
        <w:keepLines/>
      </w:pPr>
      <w:r>
        <w:t xml:space="preserve"> </w:t>
      </w:r>
    </w:p>
    <w:p>
      <w:pPr>
        <w:keepLines/>
      </w:pPr>
      <w:r>
        <w:rPr>
          <w:b/>
        </w:rPr>
        <w:t>My listener heard / my improvement:</w:t>
      </w:r>
    </w:p>
    <w:p>
      <w:pPr>
        <w:pStyle w:val="ResponseLine"/>
        <w:keepLines/>
      </w:pPr>
      <w:r>
        <w:t xml:space="preserve"> </w:t>
      </w:r>
    </w:p>
    <w:p>
      <w:pPr>
        <w:pStyle w:val="ResponseLine"/>
        <w:keepLines/>
      </w:pPr>
      <w:r>
        <w:t xml:space="preserve"> 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20" w:bottom="1020" w:left="1020" w:header="369" w:footer="36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</w:pPr>
    <w:r>
      <w:rPr>
        <w:rFonts w:ascii="Arial" w:hAnsi="Arial"/>
        <w:color w:val="54656C"/>
        <w:sz w:val="17"/>
      </w:rPr>
      <w:t xml:space="preserve">Autumn 1 · Week 4  |  Pupil sheet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Kicker"/>
      <w:pBdr>
        <w:bottom w:val="single" w:sz="8" w:color="DCE7DD" w:space="5"/>
      </w:pBdr>
    </w:pPr>
    <w:r>
      <w:rPr>
        <w:rFonts w:ascii="Arial" w:hAnsi="Arial"/>
      </w:rPr>
    </w:r>
    <w:r>
      <w:rPr>
        <w:rFonts w:ascii="Arial" w:hAnsi="Arial"/>
      </w:rPr>
      <w:t xml:space="preserve">  MADE BY MATT  /  BUILD HUMANITIES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0">
    <w:abstractNumId w:val="9"/>
  </w:num>
  <w:abstractNum w:abstractNumId="10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widowControl/>
      <w:spacing w:before="0" w:after="120" w:line="259" w:lineRule="auto"/>
    </w:pPr>
    <w:rPr>
      <w:rFonts w:ascii="Arial" w:hAnsi="Arial" w:eastAsia="Arial" w:cs="Arial"/>
      <w:b w:val="0"/>
      <w:color w:val="152B3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200" w:after="120" w:line="254" w:lineRule="auto"/>
      <w:outlineLvl w:val="0"/>
    </w:pPr>
    <w:rPr>
      <w:rFonts w:ascii="Arial" w:hAnsi="Arial" w:eastAsia="Arial" w:cs="Arial"/>
      <w:b/>
      <w:bCs/>
      <w:color w:val="28685E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140" w:after="80" w:line="254" w:lineRule="auto"/>
      <w:outlineLvl w:val="1"/>
    </w:pPr>
    <w:rPr>
      <w:rFonts w:ascii="Arial" w:hAnsi="Arial" w:eastAsia="Arial" w:cs="Arial"/>
      <w:b/>
      <w:bCs/>
      <w:color w:val="152B3A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widowControl/>
      <w:spacing w:after="140" w:line="250" w:lineRule="auto" w:before="0"/>
      <w:contextualSpacing/>
    </w:pPr>
    <w:rPr>
      <w:rFonts w:ascii="Arial" w:hAnsi="Arial" w:eastAsia="Arial" w:cs="Arial"/>
      <w:b/>
      <w:color w:val="152B3A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widowControl/>
      <w:numPr>
        <w:ilvl w:val="1"/>
      </w:numPr>
      <w:spacing w:before="0" w:after="200" w:line="252" w:lineRule="auto"/>
    </w:pPr>
    <w:rPr>
      <w:rFonts w:ascii="Arial" w:hAnsi="Arial" w:eastAsia="Arial" w:cs="Arial"/>
      <w:b w:val="0"/>
      <w:i w:val="0"/>
      <w:iCs/>
      <w:color w:val="54656C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120" w:line="259" w:lineRule="auto"/>
      <w:contextualSpacing/>
    </w:pPr>
    <w:rPr>
      <w:rFonts w:ascii="Arial" w:hAnsi="Arial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icker">
    <w:name w:val="Kicker"/>
    <w:pPr>
      <w:keepNext/>
      <w:widowControl/>
      <w:spacing w:before="0" w:after="140" w:line="250" w:lineRule="auto"/>
    </w:pPr>
    <w:rPr>
      <w:rFonts w:ascii="Arial" w:hAnsi="Arial" w:eastAsia="Arial" w:cs="Arial"/>
      <w:b/>
      <w:color w:val="28685E"/>
      <w:sz w:val="18"/>
    </w:rPr>
  </w:style>
  <w:style w:type="paragraph" w:customStyle="1" w:styleId="Small">
    <w:name w:val="Small"/>
    <w:pPr>
      <w:widowControl/>
      <w:spacing w:before="0" w:after="120" w:line="254" w:lineRule="auto"/>
    </w:pPr>
    <w:rPr>
      <w:rFonts w:ascii="Arial" w:hAnsi="Arial" w:eastAsia="Arial" w:cs="Arial"/>
      <w:b w:val="0"/>
      <w:color w:val="54656C"/>
      <w:sz w:val="18"/>
    </w:rPr>
  </w:style>
  <w:style w:type="paragraph" w:customStyle="1" w:styleId="ResponseLine">
    <w:name w:val="ResponseLine"/>
    <w:pPr>
      <w:widowControl/>
      <w:spacing w:before="0" w:after="0" w:line="480" w:lineRule="exact"/>
    </w:pPr>
    <w:rPr>
      <w:rFonts w:ascii="Arial" w:hAnsi="Arial" w:eastAsia="Arial" w:cs="Arial"/>
      <w:b w:val="0"/>
      <w:color w:val="152B3A"/>
      <w:sz w:val="24"/>
    </w:rPr>
  </w:style>
  <w:style w:type="paragraph" w:customStyle="1" w:styleId="Callout">
    <w:name w:val="Callout"/>
    <w:pPr>
      <w:widowControl/>
      <w:spacing w:before="120" w:after="180" w:line="254" w:lineRule="auto"/>
    </w:pPr>
    <w:rPr>
      <w:rFonts w:ascii="Arial" w:hAnsi="Arial" w:eastAsia="Arial" w:cs="Arial"/>
      <w:b w:val="0"/>
      <w:color w:val="152B3A"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2" Type="http://schemas.openxmlformats.org/officeDocument/2006/relationships/image" Target="media/image3.jpg"/><Relationship Id="rId13" Type="http://schemas.openxmlformats.org/officeDocument/2006/relationships/image" Target="media/image4.jpg"/></Relationships>
</file>

<file path=word/_rels/header1.xml.rels><?xml version='1.0' encoding='UTF-8' standalone='yes'?>
<Relationships xmlns="http://schemas.openxmlformats.org/package/2006/relationships"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BUILD Humanities • Autumn 1</dc:title>
  <dc:subject>Humanities, Autumn 1, Weeks 3–7</dc:subject>
  <dc:creator>Made by Matt</dc:creator>
  <cp:keywords>Humanities; Autumn 1; 2026–27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