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Kicker"/>
        <w:keepLines/>
      </w:pPr>
      <w:r>
        <w:t>TEACHER GUIDE / ANSWERS SEPARATE</w:t>
      </w:r>
    </w:p>
    <w:p>
      <w:pPr>
        <w:pStyle w:val="Title"/>
        <w:keepLines/>
      </w:pPr>
      <w:r>
        <w:t>A place in the group</w:t>
      </w:r>
    </w:p>
    <w:p>
      <w:pPr>
        <w:pStyle w:val="Subtitle"/>
        <w:keepLines/>
      </w:pPr>
      <w:r>
        <w:t>Autumn 1 · Week 7 · 40 minutes</w:t>
      </w:r>
    </w:p>
    <w:p>
      <w:pPr>
        <w:pStyle w:val="Callout"/>
        <w:keepLines/>
      </w:pPr>
      <w:r>
        <w:t>Describe a group and its shared activity, and identify one action that helps people belong.</w:t>
      </w:r>
    </w:p>
    <w:p>
      <w:pPr>
        <w:pStyle w:val="Heading1"/>
        <w:keepLines/>
      </w:pPr>
      <w:r>
        <w:t>Prepare and teach</w:t>
      </w:r>
    </w:p>
    <w:p>
      <w:pPr>
        <w:keepLines/>
      </w:pPr>
      <w:r>
        <w:t>Thursday 11:00-11:40. BUILD Weekly - Autumn, Humanities C52. Humanities lesson; separate RE period is outside this pack.</w:t>
      </w:r>
    </w:p>
    <w:p>
      <w:pPr>
        <w:pStyle w:val="ListBullet"/>
        <w:keepLines/>
      </w:pPr>
      <w:r>
        <w:t>Open the 12-slide deck; print one pupil booklet per learner. Keep this guide separate from pupil copies.</w:t>
      </w:r>
    </w:p>
    <w:p>
      <w:pPr>
        <w:pStyle w:val="ListBullet"/>
        <w:keepLines/>
      </w:pPr>
      <w:r>
        <w:t>Read the source cards and answer guidance before teaching. Use the supplied offline sheets; live links are optional.</w:t>
      </w:r>
    </w:p>
    <w:p>
      <w:pPr>
        <w:pStyle w:val="ListBullet"/>
        <w:keepLines/>
      </w:pPr>
      <w:r>
        <w:t>Have pencils, highlighters and movable labels available.</w:t>
      </w:r>
    </w:p>
    <w:tbl>
      <w:tblPr>
        <w:tblW w:type="dxa" w:w="9864"/>
        <w:jc w:val="left"/>
        <w:tblLayout w:type="fixed"/>
        <w:tblLook w:firstColumn="1" w:firstRow="1" w:lastColumn="0" w:lastRow="0" w:noHBand="0" w:noVBand="1" w:val="04A0"/>
        <w:tblBorders>
          <w:top w:val="single" w:sz="5" w:color="A7B9B1"/>
          <w:left w:val="single" w:sz="5" w:color="A7B9B1"/>
          <w:bottom w:val="single" w:sz="5" w:color="A7B9B1"/>
          <w:right w:val="single" w:sz="5" w:color="A7B9B1"/>
          <w:insideH w:val="single" w:sz="5" w:color="A7B9B1"/>
          <w:insideV w:val="single" w:sz="5" w:color="A7B9B1"/>
        </w:tblBorders>
      </w:tblPr>
      <w:tblGrid>
        <w:gridCol w:w="1152"/>
        <w:gridCol w:w="1152"/>
        <w:gridCol w:w="7560"/>
      </w:tblGrid>
      <w:tr>
        <w:trPr>
          <w:trHeight w:hRule="atLeast" w:val="418"/>
          <w:cantSplit/>
          <w:tblHeader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Slides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Minutes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  <w:shd w:fill="28685E"/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b/>
                <w:color w:val="FFFFFF"/>
                <w:sz w:val="20"/>
              </w:rPr>
              <w:t>Use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1–3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7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Enquiry, retrieval and vocabulary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4–5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9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Read evidence and model thinking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6–7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8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Guided practice and hinge check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8–9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10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Independent response and explanation</w:t>
            </w:r>
          </w:p>
        </w:tc>
      </w:tr>
      <w:tr>
        <w:trPr>
          <w:trHeight w:hRule="atLeast" w:val="418"/>
          <w:cantSplit/>
        </w:trPr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10–12</w:t>
            </w:r>
          </w:p>
        </w:tc>
        <w:tc>
          <w:tcPr>
            <w:tcW w:type="dxa" w:w="1152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6</w:t>
            </w:r>
          </w:p>
        </w:tc>
        <w:tc>
          <w:tcPr>
            <w:tcW w:type="dxa" w:w="7560"/>
            <w:tcMar>
              <w:top w:w="95" w:type="dxa"/>
              <w:left w:w="95" w:type="dxa"/>
              <w:bottom w:w="95" w:type="dxa"/>
              <w:right w:w="95" w:type="dxa"/>
            </w:tcMar>
          </w:tcPr>
          <w:p>
            <w:pPr>
              <w:keepLines/>
              <w:spacing w:after="40" w:line="252" w:lineRule="auto"/>
            </w:pPr>
            <w:r>
              <w:rPr>
                <w:rFonts w:ascii="Arial" w:hAnsi="Arial"/>
                <w:sz w:val="20"/>
              </w:rPr>
              <w:t>Check, listen, improve and exit</w:t>
            </w:r>
          </w:p>
        </w:tc>
      </w:tr>
    </w:tbl>
    <w:p>
      <w:pPr>
        <w:keepLines/>
        <w:spacing w:after="0"/>
      </w:pPr>
    </w:p>
    <w:p>
      <w:pPr>
        <w:pStyle w:val="Heading1"/>
        <w:keepLines/>
      </w:pPr>
      <w:r>
        <w:t>Assessment evidence</w:t>
      </w:r>
    </w:p>
    <w:p>
      <w:pPr>
        <w:keepLines/>
      </w:pPr>
      <w:r>
        <w:t>Keep the first response and a later correction. Note the response method, adult support and one reason the pupil gave. A completed sheet alone does not demonstrate independent understanding.</w:t>
      </w:r>
    </w:p>
    <w:p>
      <w:r>
        <w:br w:type="page"/>
      </w:r>
    </w:p>
    <w:p>
      <w:pPr>
        <w:pStyle w:val="Kicker"/>
        <w:keepLines/>
      </w:pPr>
      <w:r>
        <w:t>TEACHING GUIDANCE</w:t>
      </w:r>
    </w:p>
    <w:p>
      <w:pPr>
        <w:pStyle w:val="Title"/>
        <w:keepLines/>
      </w:pPr>
      <w:r>
        <w:t>Teach, check, respond</w:t>
      </w:r>
    </w:p>
    <w:p>
      <w:pPr>
        <w:pStyle w:val="Heading1"/>
        <w:keepLines/>
      </w:pPr>
      <w:r>
        <w:t>Vocabulary</w:t>
      </w:r>
    </w:p>
    <w:p>
      <w:pPr>
        <w:keepLines/>
      </w:pPr>
      <w:r>
        <w:t>Group | people linked in some way.</w:t>
        <w:br/>
        <w:t>Contribution | something you add.</w:t>
        <w:br/>
        <w:t>Belonging | being included.</w:t>
        <w:br/>
        <w:t>Choice | a way you may join in.</w:t>
      </w:r>
    </w:p>
    <w:p>
      <w:pPr>
        <w:pStyle w:val="Heading1"/>
        <w:keepLines/>
      </w:pPr>
      <w:r>
        <w:t>Model and guided practice</w:t>
      </w:r>
    </w:p>
    <w:p>
      <w:pPr>
        <w:keepLines/>
      </w:pPr>
      <w:r>
        <w:t>Model: Group: a gardening group. Shared activity: care for plants. Contributions: water, label or choose what to plant.</w:t>
      </w:r>
    </w:p>
    <w:p>
      <w:pPr>
        <w:keepLines/>
      </w:pPr>
      <w:r>
        <w:t>Together: Match choir to singing together. Match gardening group to caring for plants. Name a helpful role in a reading group.</w:t>
      </w:r>
    </w:p>
    <w:p>
      <w:pPr>
        <w:pStyle w:val="Heading1"/>
        <w:keepLines/>
      </w:pPr>
      <w:r>
        <w:t>Hinge decision</w:t>
      </w:r>
    </w:p>
    <w:p>
      <w:pPr>
        <w:keepLines/>
      </w:pPr>
      <w:r>
        <w:t>Which rule helps people belong? A. Everyone must contribute in the same way. B. Agree different useful roles. Choose and explain.</w:t>
      </w:r>
    </w:p>
    <w:p>
      <w:pPr>
        <w:keepLines/>
      </w:pPr>
      <w:r>
        <w:t>Ask for simultaneous choices, then a reason. If the reason reveals the misconception, revisit one evidence detail before releasing the independent task.</w:t>
      </w:r>
    </w:p>
    <w:p>
      <w:pPr>
        <w:pStyle w:val="Heading1"/>
        <w:keepLines/>
      </w:pPr>
      <w:r>
        <w:t>Access without lowering the thinking</w:t>
      </w:r>
    </w:p>
    <w:p>
      <w:pPr>
        <w:keepLines/>
      </w:pPr>
      <w:r>
        <w:t>Offer two group cards, read the activities, and accept one match plus a chosen welcoming action.</w:t>
      </w:r>
    </w:p>
    <w:p>
      <w:pPr>
        <w:keepLines/>
      </w:pPr>
      <w:r>
        <w:t>Allow pointing, signing, speech, drawing, writing, dictation or directing an adult. Offer a pass on personal sharing. Use fictional examples; never require a migration story, home address or family disclosure.</w:t>
      </w:r>
    </w:p>
    <w:p>
      <w:pPr>
        <w:pStyle w:val="Heading1"/>
        <w:keepLines/>
      </w:pPr>
      <w:r>
        <w:t>Extend the reasoning</w:t>
      </w:r>
    </w:p>
    <w:p>
      <w:pPr>
        <w:keepLines/>
      </w:pPr>
      <w:r>
        <w:t>Explain how a group could change one rule so a new member can contribute in a different way.</w:t>
      </w:r>
    </w:p>
    <w:p>
      <w:pPr>
        <w:pStyle w:val="Heading1"/>
        <w:keepLines/>
      </w:pPr>
      <w:r>
        <w:t>Pupil voice with a response</w:t>
      </w:r>
    </w:p>
    <w:p>
      <w:pPr>
        <w:keepLines/>
      </w:pPr>
      <w:r>
        <w:t>Offer space and a response choice. Listen, then read the meaning back. Invite the pupil to correct your interpretation. Agree one useful teaching change and act on it next lesson; tell the pupil what their feedback changed.</w:t>
      </w:r>
    </w:p>
    <w:p>
      <w:r>
        <w:br w:type="page"/>
      </w:r>
    </w:p>
    <w:p>
      <w:pPr>
        <w:pStyle w:val="Kicker"/>
        <w:keepLines/>
      </w:pPr>
      <w:r>
        <w:t>KEEP SEPARATE FROM PUPIL SHEETS</w:t>
      </w:r>
    </w:p>
    <w:p>
      <w:pPr>
        <w:pStyle w:val="Title"/>
        <w:keepLines/>
      </w:pPr>
      <w:r>
        <w:t>Answers and misconceptions</w:t>
      </w:r>
    </w:p>
    <w:p>
      <w:pPr>
        <w:keepLines/>
      </w:pPr>
      <w:r>
        <w:t>1. Groups match their printed activity. Listening, choosing a story, drawing or helping organise can be contributions. Pass remains available.</w:t>
      </w:r>
    </w:p>
    <w:p>
      <w:pPr>
        <w:keepLines/>
      </w:pPr>
      <w:r>
        <w:t>2. Hinge B. Example welcome: Would you like to listen, choose or draw?</w:t>
      </w:r>
    </w:p>
    <w:p>
      <w:pPr>
        <w:keepLines/>
      </w:pPr>
      <w:r>
        <w:t>3. Review five outcomes separately. Record achieved with support / independently / next step for each. This is a classroom review, not a qualification award.</w:t>
      </w:r>
    </w:p>
    <w:p>
      <w:pPr>
        <w:pStyle w:val="Heading1"/>
        <w:keepLines/>
      </w:pPr>
      <w:r>
        <w:t>Watch for these errors</w:t>
      </w:r>
    </w:p>
    <w:p>
      <w:pPr>
        <w:pStyle w:val="ListBullet"/>
        <w:keepLines/>
      </w:pPr>
      <w:r>
        <w:t>Belonging is not earned only by performance or productivity. A pupil who observes or pauses still matters.</w:t>
      </w:r>
    </w:p>
    <w:p>
      <w:pPr>
        <w:pStyle w:val="ListBullet"/>
        <w:keepLines/>
      </w:pPr>
      <w:r>
        <w:t>Do not ask pupils to discuss who would be missed if absent; keep attention on inclusion and flexible group roles.</w:t>
      </w:r>
    </w:p>
    <w:p>
      <w:pPr>
        <w:pStyle w:val="Heading1"/>
        <w:keepLines/>
      </w:pPr>
      <w:r>
        <w:t>Source details</w:t>
      </w:r>
    </w:p>
    <w:p>
      <w:pPr>
        <w:pStyle w:val="Small"/>
        <w:keepLines/>
      </w:pPr>
      <w:r>
        <w:t>The pathway Start Here guide contains the original lesson links, factual references and image credits. Source cards are newly written summaries unless explicitly labelled as original-document images. Refer to the larger source sheets when a projected detail is hard to read.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1020" w:right="1020" w:bottom="1020" w:left="1020" w:header="369" w:footer="36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Small"/>
    </w:pPr>
    <w:r>
      <w:rPr>
        <w:rFonts w:ascii="Arial" w:hAnsi="Arial"/>
        <w:color w:val="54656C"/>
        <w:sz w:val="17"/>
      </w:rPr>
      <w:t xml:space="preserve">Autumn 1 · Week 7  |  Teacher guide  |  </w:t>
    </w:r>
    <w:fldSimple w:instr="PAGE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Kicker"/>
      <w:pBdr>
        <w:bottom w:val="single" w:sz="8" w:color="DCE7DD" w:space="5"/>
      </w:pBdr>
    </w:pPr>
    <w:r>
      <w:rPr>
        <w:rFonts w:ascii="Arial" w:hAnsi="Arial"/>
      </w:rPr>
    </w:r>
    <w:r>
      <w:rPr>
        <w:rFonts w:ascii="Arial" w:hAnsi="Arial"/>
      </w:rPr>
      <w:t xml:space="preserve">  MADE BY MATT  /  BUILD HUMANITIES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0">
    <w:abstractNumId w:val="9"/>
  </w:num>
  <w:abstractNum w:abstractNumId="10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1">
    <w:abstractNumId w:val="10"/>
  </w:num>
  <w:abstractNum w:abstractNumId="11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2">
    <w:abstractNumId w:val="11"/>
  </w:num>
  <w:abstractNum w:abstractNumId="12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3">
    <w:abstractNumId w:val="12"/>
  </w:num>
  <w:abstractNum w:abstractNumId="13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4">
    <w:abstractNumId w:val="13"/>
  </w:num>
  <w:abstractNum w:abstractNumId="14">
    <w:lvl w:ilvl="0">
      <w:start w:val="1"/>
      <w:numFmt w:val="bullet"/>
      <w:lvlText w:val="•"/>
      <w:lvlJc w:val="left"/>
      <w:pPr>
        <w:ind w:left="360" w:hanging="180"/>
      </w:pPr>
      <w:rPr>
        <w:rFonts w:ascii="Arial" w:hAnsi="Arial"/>
      </w:rPr>
    </w:lvl>
  </w:abstract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120" w:line="259" w:lineRule="auto"/>
    </w:pPr>
    <w:rPr>
      <w:rFonts w:ascii="Arial" w:hAnsi="Arial" w:eastAsia="Arial" w:cs="Arial"/>
      <w:b w:val="0"/>
      <w:color w:val="152B3A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00" w:after="120" w:line="254" w:lineRule="auto"/>
      <w:outlineLvl w:val="0"/>
    </w:pPr>
    <w:rPr>
      <w:rFonts w:ascii="Arial" w:hAnsi="Arial" w:eastAsia="Arial" w:cs="Arial"/>
      <w:b/>
      <w:bCs/>
      <w:color w:val="28685E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140" w:after="80" w:line="254" w:lineRule="auto"/>
      <w:outlineLvl w:val="1"/>
    </w:pPr>
    <w:rPr>
      <w:rFonts w:ascii="Arial" w:hAnsi="Arial" w:eastAsia="Arial" w:cs="Arial"/>
      <w:b/>
      <w:bCs/>
      <w:color w:val="152B3A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widowControl/>
      <w:spacing w:after="140" w:line="250" w:lineRule="auto" w:before="0"/>
      <w:contextualSpacing/>
    </w:pPr>
    <w:rPr>
      <w:rFonts w:ascii="Arial" w:hAnsi="Arial" w:eastAsia="Arial" w:cs="Arial"/>
      <w:b/>
      <w:color w:val="152B3A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widowControl/>
      <w:numPr>
        <w:ilvl w:val="1"/>
      </w:numPr>
      <w:spacing w:before="0" w:after="200" w:line="252" w:lineRule="auto"/>
    </w:pPr>
    <w:rPr>
      <w:rFonts w:ascii="Arial" w:hAnsi="Arial" w:eastAsia="Arial" w:cs="Arial"/>
      <w:b w:val="0"/>
      <w:i w:val="0"/>
      <w:iCs/>
      <w:color w:val="54656C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120" w:line="259" w:lineRule="auto"/>
      <w:contextualSpacing/>
    </w:pPr>
    <w:rPr>
      <w:rFonts w:ascii="Arial" w:hAnsi="Arial"/>
      <w:sz w:val="22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Kicker">
    <w:name w:val="Kicker"/>
    <w:pPr>
      <w:keepNext/>
      <w:widowControl/>
      <w:spacing w:before="0" w:after="140" w:line="250" w:lineRule="auto"/>
    </w:pPr>
    <w:rPr>
      <w:rFonts w:ascii="Arial" w:hAnsi="Arial" w:eastAsia="Arial" w:cs="Arial"/>
      <w:b/>
      <w:color w:val="28685E"/>
      <w:sz w:val="18"/>
    </w:rPr>
  </w:style>
  <w:style w:type="paragraph" w:customStyle="1" w:styleId="Small">
    <w:name w:val="Small"/>
    <w:pPr>
      <w:widowControl/>
      <w:spacing w:before="0" w:after="120" w:line="254" w:lineRule="auto"/>
    </w:pPr>
    <w:rPr>
      <w:rFonts w:ascii="Arial" w:hAnsi="Arial" w:eastAsia="Arial" w:cs="Arial"/>
      <w:b w:val="0"/>
      <w:color w:val="54656C"/>
      <w:sz w:val="18"/>
    </w:rPr>
  </w:style>
  <w:style w:type="paragraph" w:customStyle="1" w:styleId="ResponseLine">
    <w:name w:val="ResponseLine"/>
    <w:pPr>
      <w:widowControl/>
      <w:spacing w:before="0" w:after="0" w:line="480" w:lineRule="exact"/>
    </w:pPr>
    <w:rPr>
      <w:rFonts w:ascii="Arial" w:hAnsi="Arial" w:eastAsia="Arial" w:cs="Arial"/>
      <w:b w:val="0"/>
      <w:color w:val="152B3A"/>
      <w:sz w:val="24"/>
    </w:rPr>
  </w:style>
  <w:style w:type="paragraph" w:customStyle="1" w:styleId="Callout">
    <w:name w:val="Callout"/>
    <w:pPr>
      <w:widowControl/>
      <w:spacing w:before="120" w:after="180" w:line="254" w:lineRule="auto"/>
    </w:pPr>
    <w:rPr>
      <w:rFonts w:ascii="Arial" w:hAnsi="Arial" w:eastAsia="Arial" w:cs="Arial"/>
      <w:b w:val="0"/>
      <w:color w:val="152B3A"/>
      <w:sz w:val="22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'1.0' encoding='UTF-8' standalone='yes'?>
<Relationships xmlns="http://schemas.openxmlformats.org/package/2006/relationships"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BUILD Humanities • Autumn 1</dc:title>
  <dc:subject>Humanities, Autumn 1, Weeks 3–7</dc:subject>
  <dc:creator>Made by Matt</dc:creator>
  <cp:keywords>Humanities; Autumn 1; 2026–27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