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Compare festivals of light</w:t>
      </w:r>
    </w:p>
    <w:p>
      <w:pPr>
        <w:pStyle w:val="Caption"/>
      </w:pPr>
      <w:r>
        <w:t>GR_W6  |  Thursday 09:30–10:10  |  Name: __________________</w:t>
      </w:r>
    </w:p>
    <w:p>
      <w:r>
        <w:t>I can: Write one supported similarity and one supported difference.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COMPARISON CARDS — concise paraphrases of Hindu American Foundation and Chabad.org; retain each source’s identity.</w:t>
      </w:r>
    </w:p>
    <w:p>
      <w:r>
        <w:t>D1. In this Hindu account of Diwali, diyas connect light with good overcoming evil and knowledge overcoming ignorance.</w:t>
      </w:r>
    </w:p>
    <w:p>
      <w:r>
        <w:t>H1. In this Jewish account of Hanukkah, an added light each night recalls the traditional miracle of oil lasting eight days.</w:t>
      </w:r>
    </w:p>
    <w:p>
      <w:r>
        <w:t>V1. Both accounts link light with religious meaning.</w:t>
      </w:r>
    </w:p>
    <w:p>
      <w:r>
        <w:t>V2. Similar objects do not establish identical stories, beliefs or practices.</w:t>
      </w:r>
    </w:p>
    <w:p>
      <w:pPr>
        <w:pStyle w:val="Heading2"/>
      </w:pPr>
      <w:r>
        <w:t>First decision</w:t>
      </w:r>
    </w:p>
    <w:p>
      <w:r>
        <w:t>Which comparison is supported?</w:t>
      </w:r>
    </w:p>
    <w:p>
      <w:r>
        <w:t>A. Both use meaningful light, with different explanations.   /   B. Hanukkah is simply another name for Diwali.   /   C. The brightest display has the best belief.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GR_W6  |  Use the source on page 1</w:t>
      </w:r>
    </w:p>
    <w:p>
      <w:pPr>
        <w:pStyle w:val="Heading2"/>
      </w:pPr>
      <w:r>
        <w:t>1. Complete two rows: festival / source’s meaning / supporting line.</w:t>
      </w:r>
    </w:p>
    <w:tbl>
      <w:tblPr>
        <w:tblStyle w:val="TableGrid"/>
        <w:tblW w:type="dxa" w:w="9750"/>
        <w:tblLayout w:type="fixed"/>
        <w:tblLook w:firstColumn="1" w:firstRow="1" w:lastColumn="0" w:lastRow="0" w:noHBand="0" w:noVBand="1" w:val="04A0"/>
        <w:tblInd w:w="120" w:type="dxa"/>
      </w:tblPr>
      <w:tblGrid>
        <w:gridCol w:w="3250"/>
        <w:gridCol w:w="3250"/>
        <w:gridCol w:w="3250"/>
      </w:tblGrid>
      <w:tr>
        <w:trPr>
          <w:cantSplit/>
        </w:trPr>
        <w:tc>
          <w:tcPr>
            <w:tcW w:type="dxa" w:w="3250"/>
          </w:tcPr>
          <w:p>
            <w:pPr>
              <w:spacing w:after="100" w:before="100"/>
            </w:pPr>
            <w:r>
              <w:t>Festival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Source’s meaning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>
              <w:t>Supporting line</w:t>
            </w:r>
          </w:p>
        </w:tc>
      </w:tr>
      <w:tr>
        <w:trPr>
          <w:cantSplit/>
        </w:trPr>
        <w:tc>
          <w:tcPr>
            <w:tcW w:type="dxa" w:w="3250"/>
          </w:tcPr>
          <w:p>
            <w:pPr>
              <w:spacing w:after="100" w:before="100"/>
            </w:pPr>
            <w:r>
              <w:t>Diwali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/>
          </w:p>
        </w:tc>
        <w:tc>
          <w:tcPr>
            <w:tcW w:type="dxa" w:w="3250"/>
          </w:tcPr>
          <w:p>
            <w:pPr>
              <w:spacing w:after="100" w:before="100"/>
            </w:pPr>
            <w:r/>
          </w:p>
        </w:tc>
      </w:tr>
      <w:tr>
        <w:trPr>
          <w:cantSplit/>
        </w:trPr>
        <w:tc>
          <w:tcPr>
            <w:tcW w:type="dxa" w:w="3250"/>
          </w:tcPr>
          <w:p>
            <w:pPr>
              <w:spacing w:after="100" w:before="100"/>
            </w:pPr>
            <w:r>
              <w:t>Hanukkah</w:t>
            </w:r>
          </w:p>
        </w:tc>
        <w:tc>
          <w:tcPr>
            <w:tcW w:type="dxa" w:w="3250"/>
          </w:tcPr>
          <w:p>
            <w:pPr>
              <w:spacing w:after="100" w:before="100"/>
            </w:pPr>
            <w:r/>
          </w:p>
        </w:tc>
        <w:tc>
          <w:tcPr>
            <w:tcW w:type="dxa" w:w="3250"/>
          </w:tcPr>
          <w:p>
            <w:pPr>
              <w:spacing w:after="100" w:before="100"/>
            </w:pPr>
            <w:r/>
          </w:p>
        </w:tc>
      </w:tr>
    </w:tbl>
    <w:p>
      <w:pPr>
        <w:pStyle w:val="Heading2"/>
      </w:pPr>
      <w:r>
        <w:t>2. Write one “Both…” sentence and one “Whereas…” sentence.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Repair “All festivals of light are identical.” Use evidence from both cards.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Compare festivals of light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