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Similar actions, different meanings</w:t>
      </w:r>
    </w:p>
    <w:p>
      <w:pPr>
        <w:pStyle w:val="Caption"/>
      </w:pPr>
      <w:r>
        <w:t>BR_W5  |  Tuesday 13:30–14:10  |  Name: __________________</w:t>
      </w:r>
    </w:p>
    <w:p>
      <w:r>
        <w:t>I can: Identify one similarity and one difference between two source cards.</w:t>
      </w:r>
    </w:p>
    <w:p>
      <w:pPr>
        <w:pStyle w:val="Caption"/>
      </w:pPr>
      <w:r>
        <w:t>Point, speak, draw or write. Keep your first answer visible.</w:t>
      </w:r>
    </w:p>
    <w:p>
      <w:pPr>
        <w:pStyle w:val="Heading2"/>
      </w:pPr>
      <w:r>
        <w:t>Our source</w:t>
      </w:r>
    </w:p>
    <w:p>
      <w:pPr>
        <w:pStyle w:val="Caption"/>
      </w:pPr>
      <w:r>
        <w:t>CLASSROOM FACT CARDS — short paraphrases of named community sources. These examples do not represent every person in a tradition.</w:t>
      </w:r>
    </w:p>
    <w:p>
      <w:r>
        <w:t>D1. At Diwali, many Hindus place small lamps called diyas around homes or places of worship.</w:t>
      </w:r>
    </w:p>
    <w:p>
      <w:r>
        <w:t>D2. Hindu American Foundation describes the light as connected with good overcoming evil and knowledge overcoming ignorance.</w:t>
      </w:r>
    </w:p>
    <w:p>
      <w:r>
        <w:t>C1. At Christmas, Christians celebrate the birth of Jesus.</w:t>
      </w:r>
    </w:p>
    <w:p>
      <w:r>
        <w:t>C2. Church of England worship may use a candle when describing Jesus as the light of the world.</w:t>
      </w:r>
    </w:p>
    <w:p>
      <w:pPr>
        <w:pStyle w:val="Heading2"/>
      </w:pPr>
      <w:r>
        <w:t>First decision</w:t>
      </w:r>
    </w:p>
    <w:p>
      <w:r>
        <w:t>Both groups use light. What can we conclude?</w:t>
      </w:r>
    </w:p>
    <w:p>
      <w:r>
        <w:t>A. They must have identical beliefs.   /   B. The action is similar; read each meaning.   /   C. One festival must be better.</w:t>
      </w:r>
    </w:p>
    <w:p>
      <w:r>
        <w:t>My choice and reason: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r>
        <w:br w:type="page"/>
      </w:r>
    </w:p>
    <w:p>
      <w:pPr>
        <w:pStyle w:val="Title"/>
      </w:pPr>
      <w:r>
        <w:t>Your evidence</w:t>
      </w:r>
    </w:p>
    <w:p>
      <w:pPr>
        <w:pStyle w:val="Caption"/>
      </w:pPr>
      <w:r>
        <w:t>BR_W5  |  Use the source on page 1</w:t>
      </w:r>
    </w:p>
    <w:p>
      <w:pPr>
        <w:pStyle w:val="Heading2"/>
      </w:pPr>
      <w:r>
        <w:t>1. Underline the object or action using light in D1 and C2.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pStyle w:val="Heading2"/>
      </w:pPr>
      <w:r>
        <w:t>2. Complete a two-row grid: festival / source meaning.</w:t>
      </w:r>
    </w:p>
    <w:tbl>
      <w:tblPr>
        <w:tblStyle w:val="TableGrid"/>
        <w:tblW w:type="dxa" w:w="9750"/>
        <w:tblLayout w:type="fixed"/>
        <w:tblLook w:firstColumn="1" w:firstRow="1" w:lastColumn="0" w:lastRow="0" w:noHBand="0" w:noVBand="1" w:val="04A0"/>
        <w:tblInd w:w="120" w:type="dxa"/>
      </w:tblPr>
      <w:tblGrid>
        <w:gridCol w:w="4875"/>
        <w:gridCol w:w="4875"/>
      </w:tblGrid>
      <w:tr>
        <w:trPr>
          <w:cantSplit/>
        </w:trPr>
        <w:tc>
          <w:tcPr>
            <w:tcW w:type="dxa" w:w="4875"/>
          </w:tcPr>
          <w:p>
            <w:pPr>
              <w:spacing w:after="100" w:before="100"/>
            </w:pPr>
            <w:r>
              <w:t>Festival</w:t>
            </w:r>
          </w:p>
        </w:tc>
        <w:tc>
          <w:tcPr>
            <w:tcW w:type="dxa" w:w="4875"/>
          </w:tcPr>
          <w:p>
            <w:pPr>
              <w:spacing w:after="100" w:before="100"/>
            </w:pPr>
            <w:r>
              <w:t>Meaning</w:t>
            </w:r>
          </w:p>
        </w:tc>
      </w:tr>
      <w:tr>
        <w:trPr>
          <w:cantSplit/>
        </w:trPr>
        <w:tc>
          <w:tcPr>
            <w:tcW w:type="dxa" w:w="4875"/>
          </w:tcPr>
          <w:p>
            <w:pPr>
              <w:spacing w:after="100" w:before="100"/>
            </w:pPr>
            <w:r>
              <w:t>Diwali</w:t>
            </w:r>
          </w:p>
        </w:tc>
        <w:tc>
          <w:tcPr>
            <w:tcW w:type="dxa" w:w="4875"/>
          </w:tcPr>
          <w:p>
            <w:pPr>
              <w:spacing w:after="100" w:before="100"/>
            </w:pPr>
            <w:r/>
          </w:p>
        </w:tc>
      </w:tr>
      <w:tr>
        <w:trPr>
          <w:cantSplit/>
        </w:trPr>
        <w:tc>
          <w:tcPr>
            <w:tcW w:type="dxa" w:w="4875"/>
          </w:tcPr>
          <w:p>
            <w:pPr>
              <w:spacing w:after="100" w:before="100"/>
            </w:pPr>
            <w:r>
              <w:t>Christmas</w:t>
            </w:r>
          </w:p>
        </w:tc>
        <w:tc>
          <w:tcPr>
            <w:tcW w:type="dxa" w:w="4875"/>
          </w:tcPr>
          <w:p>
            <w:pPr>
              <w:spacing w:after="100" w:before="100"/>
            </w:pPr>
            <w:r/>
          </w:p>
        </w:tc>
      </w:tr>
    </w:tbl>
    <w:p>
      <w:pPr>
        <w:pStyle w:val="Heading2"/>
      </w:pPr>
      <w:r>
        <w:t>3. Finish: Both ___, but Diwali ___ while the Christmas source ___.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r>
        <w:t>One change, question or next step: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1020" w:right="1077" w:bottom="1020" w:left="1077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Caption"/>
    </w:pPr>
    <w:r>
      <w:t xml:space="preserve">David’s cover pack  |  Learn • Build • Explore  |  </w:t>
    </w:r>
    <w:fldSimple w:instr="PAGE"/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Caption"/>
    </w:pPr>
    <w:r>
      <w:t>MADE BY MATT  |  BUILD  |  HUMANITIES &amp; RE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264" w:lineRule="auto"/>
    </w:pPr>
    <w:rPr>
      <w:rFonts w:ascii="Arial" w:hAnsi="Arial"/>
      <w:color w:val="1F2937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20"/>
      <w:outlineLvl w:val="0"/>
    </w:pPr>
    <w:rPr>
      <w:rFonts w:asciiTheme="majorHAnsi" w:eastAsiaTheme="majorEastAsia" w:hAnsiTheme="majorHAnsi" w:cstheme="majorBidi" w:ascii="Arial" w:hAnsi="Arial"/>
      <w:b/>
      <w:bCs/>
      <w:color w:val="3B6F8C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3B6F8C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20"/>
      <w:outlineLvl w:val="2"/>
    </w:pPr>
    <w:rPr>
      <w:rFonts w:asciiTheme="majorHAnsi" w:eastAsiaTheme="majorEastAsia" w:hAnsiTheme="majorHAnsi" w:cstheme="majorBidi" w:ascii="Arial" w:hAnsi="Arial"/>
      <w:b/>
      <w:bCs/>
      <w:color w:val="3B6F8C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120" w:line="240" w:lineRule="auto" w:before="200"/>
      <w:contextualSpacing/>
    </w:pPr>
    <w:rPr>
      <w:rFonts w:asciiTheme="majorHAnsi" w:eastAsiaTheme="majorEastAsia" w:hAnsiTheme="majorHAnsi" w:cstheme="majorBidi" w:ascii="Arial" w:hAnsi="Arial"/>
      <w:b/>
      <w:color w:val="3B6F8C"/>
      <w:spacing w:val="5"/>
      <w:kern w:val="28"/>
      <w:sz w:val="50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 w:before="0" w:line="264" w:lineRule="auto"/>
    </w:pPr>
    <w:rPr>
      <w:rFonts w:ascii="Arial" w:hAnsi="Arial"/>
      <w:color w:val="1F2937"/>
      <w:sz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spacing w:before="0" w:after="120" w:line="264" w:lineRule="auto"/>
      <w:ind w:left="432" w:hanging="216"/>
      <w:contextualSpacing/>
    </w:pPr>
    <w:rPr>
      <w:rFonts w:ascii="Arial" w:hAnsi="Arial"/>
      <w:color w:val="1F2937"/>
      <w:sz w:val="24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spacing w:before="0" w:after="120" w:line="264" w:lineRule="auto"/>
      <w:ind w:left="432" w:hanging="216"/>
      <w:contextualSpacing/>
    </w:pPr>
    <w:rPr>
      <w:rFonts w:ascii="Arial" w:hAnsi="Arial"/>
      <w:color w:val="1F2937"/>
      <w:sz w:val="24"/>
    </w:r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64" w:lineRule="auto" w:before="0" w:after="120"/>
    </w:pPr>
    <w:rPr>
      <w:rFonts w:ascii="Arial" w:hAnsi="Arial"/>
      <w:b/>
      <w:bCs/>
      <w:color w:val="526170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Similar actions, different meanings pupil sheets</dc:title>
  <dc:subject>Humanities and RE cover, Autumn 1 Weeks 3–7</dc:subject>
  <dc:creator>Made by Matt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