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keepLines/>
      </w:pPr>
      <w:r>
        <w:t>LAUNCH HUMANITIES / PUPIL SHEET 1</w:t>
      </w:r>
    </w:p>
    <w:p>
      <w:pPr>
        <w:pStyle w:val="Title"/>
        <w:keepLines/>
      </w:pPr>
      <w:r>
        <w:t>Assessment sources</w:t>
      </w:r>
    </w:p>
    <w:p>
      <w:pPr>
        <w:pStyle w:val="Subtitle"/>
        <w:keepLines/>
      </w:pPr>
      <w:r>
        <w:t>Autumn 1 · Week 7 · Source-based assessment</w:t>
      </w:r>
    </w:p>
    <w:p>
      <w:pPr>
        <w:keepLines/>
      </w:pPr>
      <w:r>
        <w:t>Name: __________________________   Date: ______________</w:t>
      </w:r>
    </w:p>
    <w:p>
      <w:pPr>
        <w:keepLines/>
      </w:pPr>
      <w:r>
        <w:t>These short cards are secondary teaching summaries. Source W refers to a primary passenger list shown in Week 3. Use source letters; do not pretend the summaries are witness quotations.</w:t>
      </w:r>
    </w:p>
    <w:p>
      <w:pPr>
        <w:pStyle w:val="Heading2"/>
        <w:keepLines/>
      </w:pPr>
      <w:r>
        <w:t>W | A journey recorded, 1948</w:t>
      </w:r>
    </w:p>
    <w:p>
      <w:pPr>
        <w:keepLines/>
      </w:pPr>
      <w:r>
        <w:t>The Empire Windrush brought passengers to Tilbury on 22 June 1948. The shipping record lists names, ages, occupations and proposed addresses. On this page Kenneth Amos is recorded as 21 and a welder; Rubert Adolphus as 24 and a carpenter. A recorded occupation is not proof of a job secured in Britain. The form does not directly record each person's reason for travelling.</w:t>
      </w:r>
    </w:p>
    <w:p>
      <w:pPr>
        <w:pStyle w:val="Small"/>
        <w:keepLines/>
      </w:pPr>
      <w:r>
        <w:t>Secondary teaching summary of a primary passenger list; original image supplied.</w:t>
      </w:r>
    </w:p>
    <w:p>
      <w:pPr>
        <w:pStyle w:val="Heading2"/>
        <w:keepLines/>
      </w:pPr>
      <w:r>
        <w:t>B | A collective campaign, 1963</w:t>
      </w:r>
    </w:p>
    <w:p>
      <w:pPr>
        <w:keepLines/>
      </w:pPr>
      <w:r>
        <w:t>The Bristol Omnibus Company excluded Black and Asian people from work as bus crews. Paul Stephenson, Roy Hackett, Owen Henry, Audley Evans and Prince Brown were among the campaign organisers. Supporters refused to use the buses. The company ended the employment colour bar in August 1963. This was a collective campaign; it did not end all racism.</w:t>
      </w:r>
    </w:p>
    <w:p>
      <w:pPr>
        <w:pStyle w:val="Small"/>
        <w:keepLines/>
      </w:pPr>
      <w:r>
        <w:t>New secondary teaching summary of Historic England's account.</w:t>
      </w:r>
    </w:p>
    <w:p>
      <w:pPr>
        <w:pStyle w:val="Heading2"/>
        <w:keepLines/>
      </w:pPr>
      <w:r>
        <w:t>R | A law with limits, 1965</w:t>
      </w:r>
    </w:p>
    <w:p>
      <w:pPr>
        <w:keepLines/>
      </w:pPr>
      <w:r>
        <w:t>The Race Relations Act 1965 prohibited racial discrimination in specified public places in Great Britain. It did not cover major areas such as employment and most housing. It was a legal change, but it did not make all treatment fair or remove racism. A rule and people's everyday experiences are different kinds of evidence.</w:t>
      </w:r>
    </w:p>
    <w:p>
      <w:pPr>
        <w:pStyle w:val="Small"/>
        <w:keepLines/>
      </w:pPr>
      <w:r>
        <w:t>New secondary teaching summary of UK Parliament's historical account.</w:t>
      </w:r>
    </w:p>
    <w:p>
      <w:r>
        <w:br w:type="page"/>
      </w:r>
    </w:p>
    <w:p>
      <w:pPr>
        <w:pStyle w:val="Kicker"/>
        <w:keepLines/>
      </w:pPr>
      <w:r>
        <w:t>LAUNCH HUMANITIES / PUPIL SHEET 2</w:t>
      </w:r>
    </w:p>
    <w:p>
      <w:pPr>
        <w:pStyle w:val="Title"/>
        <w:keepLines/>
      </w:pPr>
      <w:r>
        <w:t>My source answer</w:t>
      </w:r>
    </w:p>
    <w:p>
      <w:pPr>
        <w:pStyle w:val="Subtitle"/>
        <w:keepLines/>
      </w:pPr>
      <w:r>
        <w:t>Autumn 1 · Week 7 · Source-based assessment</w:t>
      </w:r>
    </w:p>
    <w:p>
      <w:pPr>
        <w:keepLines/>
      </w:pPr>
      <w:r>
        <w:t>How far do Sources B and R show fairer treatment in Britain? Use accurate details, explain them and make a judgement. Add what Source W could contribute to this enquiry and one limit.</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r>
        <w:br w:type="page"/>
      </w:r>
    </w:p>
    <w:p>
      <w:pPr>
        <w:pStyle w:val="Kicker"/>
        <w:keepLines/>
      </w:pPr>
      <w:r>
        <w:t>LAUNCH HUMANITIES / PUPIL SHEET 3</w:t>
      </w:r>
    </w:p>
    <w:p>
      <w:pPr>
        <w:pStyle w:val="Title"/>
        <w:keepLines/>
      </w:pPr>
      <w:r>
        <w:t>Find four errors</w:t>
      </w:r>
    </w:p>
    <w:p>
      <w:pPr>
        <w:pStyle w:val="Subtitle"/>
        <w:keepLines/>
      </w:pPr>
      <w:r>
        <w:t>Autumn 1 · Week 7 · Source-based assessment</w:t>
      </w:r>
    </w:p>
    <w:p>
      <w:pPr>
        <w:keepLines/>
      </w:pPr>
      <w:r>
        <w:t>This is a deliberately flawed answer. Read only when the teacher releases Part 2.</w:t>
        <w:br/>
        <w:br/>
        <w:t>1. These sources prove Britain became completely fair.</w:t>
        <w:br/>
        <w:t>2. Source R is the direct voice of somebody living in 1965.</w:t>
        <w:br/>
        <w:t>3. Source B says a rule changed in 1963. That means a rule changed in 1963.</w:t>
        <w:br/>
        <w:t>4. Source W proves that every passenger later found the job they wanted.</w:t>
      </w:r>
    </w:p>
    <w:tbl>
      <w:tblPr>
        <w:tblW w:type="dxa" w:w="9864"/>
        <w:jc w:val="left"/>
        <w:tblLayout w:type="fixed"/>
        <w:tblLook w:firstColumn="1" w:firstRow="1" w:lastColumn="0" w:lastRow="0" w:noHBand="0" w:noVBand="1" w:val="04A0"/>
        <w:tblBorders>
          <w:top w:val="single" w:sz="5" w:color="A7B9B1"/>
          <w:left w:val="single" w:sz="5" w:color="A7B9B1"/>
          <w:bottom w:val="single" w:sz="5" w:color="A7B9B1"/>
          <w:right w:val="single" w:sz="5" w:color="A7B9B1"/>
          <w:insideH w:val="single" w:sz="5" w:color="A7B9B1"/>
          <w:insideV w:val="single" w:sz="5" w:color="A7B9B1"/>
        </w:tblBorders>
      </w:tblPr>
      <w:tblGrid>
        <w:gridCol w:w="2016"/>
        <w:gridCol w:w="3672"/>
        <w:gridCol w:w="4176"/>
      </w:tblGrid>
      <w:tr>
        <w:trPr>
          <w:trHeight w:hRule="atLeast" w:val="418"/>
          <w:cantSplit/>
          <w:tblHeader/>
        </w:trPr>
        <w:tc>
          <w:tcPr>
            <w:tcW w:type="dxa" w:w="2016"/>
            <w:tcMar>
              <w:top w:w="95" w:type="dxa"/>
              <w:left w:w="95" w:type="dxa"/>
              <w:bottom w:w="95" w:type="dxa"/>
              <w:right w:w="95" w:type="dxa"/>
            </w:tcMar>
            <w:shd w:fill="28685E"/>
          </w:tcPr>
          <w:p>
            <w:pPr>
              <w:keepLines/>
              <w:spacing w:after="40" w:line="252" w:lineRule="auto"/>
            </w:pPr>
            <w:r>
              <w:rPr>
                <w:rFonts w:ascii="Arial" w:hAnsi="Arial"/>
                <w:b/>
                <w:color w:val="FFFFFF"/>
                <w:sz w:val="22"/>
              </w:rPr>
              <w:t>Line</w:t>
            </w:r>
          </w:p>
        </w:tc>
        <w:tc>
          <w:tcPr>
            <w:tcW w:type="dxa" w:w="3672"/>
            <w:tcMar>
              <w:top w:w="95" w:type="dxa"/>
              <w:left w:w="95" w:type="dxa"/>
              <w:bottom w:w="95" w:type="dxa"/>
              <w:right w:w="95" w:type="dxa"/>
            </w:tcMar>
            <w:shd w:fill="28685E"/>
          </w:tcPr>
          <w:p>
            <w:pPr>
              <w:keepLines/>
              <w:spacing w:after="40" w:line="252" w:lineRule="auto"/>
            </w:pPr>
            <w:r>
              <w:rPr>
                <w:rFonts w:ascii="Arial" w:hAnsi="Arial"/>
                <w:b/>
                <w:color w:val="FFFFFF"/>
                <w:sz w:val="22"/>
              </w:rPr>
              <w:t>What is wrong?</w:t>
            </w:r>
          </w:p>
        </w:tc>
        <w:tc>
          <w:tcPr>
            <w:tcW w:type="dxa" w:w="4176"/>
            <w:tcMar>
              <w:top w:w="95" w:type="dxa"/>
              <w:left w:w="95" w:type="dxa"/>
              <w:bottom w:w="95" w:type="dxa"/>
              <w:right w:w="95" w:type="dxa"/>
            </w:tcMar>
            <w:shd w:fill="28685E"/>
          </w:tcPr>
          <w:p>
            <w:pPr>
              <w:keepLines/>
              <w:spacing w:after="40" w:line="252" w:lineRule="auto"/>
            </w:pPr>
            <w:r>
              <w:rPr>
                <w:rFonts w:ascii="Arial" w:hAnsi="Arial"/>
                <w:b/>
                <w:color w:val="FFFFFF"/>
                <w:sz w:val="22"/>
              </w:rPr>
              <w:t>Smallest useful repair</w:t>
            </w:r>
          </w:p>
        </w:tc>
      </w:tr>
      <w:tr>
        <w:trPr>
          <w:trHeight w:hRule="atLeast" w:val="720"/>
          <w:cantSplit/>
        </w:trPr>
        <w:tc>
          <w:tcPr>
            <w:tcW w:type="dxa" w:w="2016"/>
            <w:tcMar>
              <w:top w:w="95" w:type="dxa"/>
              <w:left w:w="95" w:type="dxa"/>
              <w:bottom w:w="95" w:type="dxa"/>
              <w:right w:w="95" w:type="dxa"/>
            </w:tcMar>
          </w:tcPr>
          <w:p>
            <w:pPr>
              <w:keepLines/>
              <w:spacing w:after="40" w:line="252" w:lineRule="auto"/>
            </w:pPr>
            <w:r>
              <w:rPr>
                <w:rFonts w:ascii="Arial" w:hAnsi="Arial"/>
                <w:sz w:val="22"/>
              </w:rPr>
              <w:t>1</w:t>
            </w:r>
          </w:p>
        </w:tc>
        <w:tc>
          <w:tcPr>
            <w:tcW w:type="dxa" w:w="3672"/>
            <w:tcMar>
              <w:top w:w="95" w:type="dxa"/>
              <w:left w:w="95" w:type="dxa"/>
              <w:bottom w:w="95" w:type="dxa"/>
              <w:right w:w="95" w:type="dxa"/>
            </w:tcMar>
          </w:tcPr>
          <w:p>
            <w:pPr>
              <w:keepLines/>
              <w:spacing w:after="40" w:line="252" w:lineRule="auto"/>
            </w:pPr>
            <w:r>
              <w:rPr>
                <w:rFonts w:ascii="Arial" w:hAnsi="Arial"/>
                <w:sz w:val="22"/>
              </w:rPr>
            </w:r>
          </w:p>
        </w:tc>
        <w:tc>
          <w:tcPr>
            <w:tcW w:type="dxa" w:w="4176"/>
            <w:tcMar>
              <w:top w:w="95" w:type="dxa"/>
              <w:left w:w="95" w:type="dxa"/>
              <w:bottom w:w="95" w:type="dxa"/>
              <w:right w:w="95" w:type="dxa"/>
            </w:tcMar>
          </w:tcPr>
          <w:p>
            <w:pPr>
              <w:keepLines/>
              <w:spacing w:after="40" w:line="252" w:lineRule="auto"/>
            </w:pPr>
            <w:r>
              <w:rPr>
                <w:rFonts w:ascii="Arial" w:hAnsi="Arial"/>
                <w:sz w:val="22"/>
              </w:rPr>
            </w:r>
          </w:p>
        </w:tc>
      </w:tr>
      <w:tr>
        <w:trPr>
          <w:trHeight w:hRule="atLeast" w:val="720"/>
          <w:cantSplit/>
        </w:trPr>
        <w:tc>
          <w:tcPr>
            <w:tcW w:type="dxa" w:w="2016"/>
            <w:tcMar>
              <w:top w:w="95" w:type="dxa"/>
              <w:left w:w="95" w:type="dxa"/>
              <w:bottom w:w="95" w:type="dxa"/>
              <w:right w:w="95" w:type="dxa"/>
            </w:tcMar>
          </w:tcPr>
          <w:p>
            <w:pPr>
              <w:keepLines/>
              <w:spacing w:after="40" w:line="252" w:lineRule="auto"/>
            </w:pPr>
            <w:r>
              <w:rPr>
                <w:rFonts w:ascii="Arial" w:hAnsi="Arial"/>
                <w:sz w:val="22"/>
              </w:rPr>
              <w:t>2</w:t>
            </w:r>
          </w:p>
        </w:tc>
        <w:tc>
          <w:tcPr>
            <w:tcW w:type="dxa" w:w="3672"/>
            <w:tcMar>
              <w:top w:w="95" w:type="dxa"/>
              <w:left w:w="95" w:type="dxa"/>
              <w:bottom w:w="95" w:type="dxa"/>
              <w:right w:w="95" w:type="dxa"/>
            </w:tcMar>
          </w:tcPr>
          <w:p>
            <w:pPr>
              <w:keepLines/>
              <w:spacing w:after="40" w:line="252" w:lineRule="auto"/>
            </w:pPr>
            <w:r>
              <w:rPr>
                <w:rFonts w:ascii="Arial" w:hAnsi="Arial"/>
                <w:sz w:val="22"/>
              </w:rPr>
            </w:r>
          </w:p>
        </w:tc>
        <w:tc>
          <w:tcPr>
            <w:tcW w:type="dxa" w:w="4176"/>
            <w:tcMar>
              <w:top w:w="95" w:type="dxa"/>
              <w:left w:w="95" w:type="dxa"/>
              <w:bottom w:w="95" w:type="dxa"/>
              <w:right w:w="95" w:type="dxa"/>
            </w:tcMar>
          </w:tcPr>
          <w:p>
            <w:pPr>
              <w:keepLines/>
              <w:spacing w:after="40" w:line="252" w:lineRule="auto"/>
            </w:pPr>
            <w:r>
              <w:rPr>
                <w:rFonts w:ascii="Arial" w:hAnsi="Arial"/>
                <w:sz w:val="22"/>
              </w:rPr>
            </w:r>
          </w:p>
        </w:tc>
      </w:tr>
      <w:tr>
        <w:trPr>
          <w:trHeight w:hRule="atLeast" w:val="720"/>
          <w:cantSplit/>
        </w:trPr>
        <w:tc>
          <w:tcPr>
            <w:tcW w:type="dxa" w:w="2016"/>
            <w:tcMar>
              <w:top w:w="95" w:type="dxa"/>
              <w:left w:w="95" w:type="dxa"/>
              <w:bottom w:w="95" w:type="dxa"/>
              <w:right w:w="95" w:type="dxa"/>
            </w:tcMar>
          </w:tcPr>
          <w:p>
            <w:pPr>
              <w:keepLines/>
              <w:spacing w:after="40" w:line="252" w:lineRule="auto"/>
            </w:pPr>
            <w:r>
              <w:rPr>
                <w:rFonts w:ascii="Arial" w:hAnsi="Arial"/>
                <w:sz w:val="22"/>
              </w:rPr>
              <w:t>3</w:t>
            </w:r>
          </w:p>
        </w:tc>
        <w:tc>
          <w:tcPr>
            <w:tcW w:type="dxa" w:w="3672"/>
            <w:tcMar>
              <w:top w:w="95" w:type="dxa"/>
              <w:left w:w="95" w:type="dxa"/>
              <w:bottom w:w="95" w:type="dxa"/>
              <w:right w:w="95" w:type="dxa"/>
            </w:tcMar>
          </w:tcPr>
          <w:p>
            <w:pPr>
              <w:keepLines/>
              <w:spacing w:after="40" w:line="252" w:lineRule="auto"/>
            </w:pPr>
            <w:r>
              <w:rPr>
                <w:rFonts w:ascii="Arial" w:hAnsi="Arial"/>
                <w:sz w:val="22"/>
              </w:rPr>
            </w:r>
          </w:p>
        </w:tc>
        <w:tc>
          <w:tcPr>
            <w:tcW w:type="dxa" w:w="4176"/>
            <w:tcMar>
              <w:top w:w="95" w:type="dxa"/>
              <w:left w:w="95" w:type="dxa"/>
              <w:bottom w:w="95" w:type="dxa"/>
              <w:right w:w="95" w:type="dxa"/>
            </w:tcMar>
          </w:tcPr>
          <w:p>
            <w:pPr>
              <w:keepLines/>
              <w:spacing w:after="40" w:line="252" w:lineRule="auto"/>
            </w:pPr>
            <w:r>
              <w:rPr>
                <w:rFonts w:ascii="Arial" w:hAnsi="Arial"/>
                <w:sz w:val="22"/>
              </w:rPr>
            </w:r>
          </w:p>
        </w:tc>
      </w:tr>
      <w:tr>
        <w:trPr>
          <w:trHeight w:hRule="atLeast" w:val="720"/>
          <w:cantSplit/>
        </w:trPr>
        <w:tc>
          <w:tcPr>
            <w:tcW w:type="dxa" w:w="2016"/>
            <w:tcMar>
              <w:top w:w="95" w:type="dxa"/>
              <w:left w:w="95" w:type="dxa"/>
              <w:bottom w:w="95" w:type="dxa"/>
              <w:right w:w="95" w:type="dxa"/>
            </w:tcMar>
          </w:tcPr>
          <w:p>
            <w:pPr>
              <w:keepLines/>
              <w:spacing w:after="40" w:line="252" w:lineRule="auto"/>
            </w:pPr>
            <w:r>
              <w:rPr>
                <w:rFonts w:ascii="Arial" w:hAnsi="Arial"/>
                <w:sz w:val="22"/>
              </w:rPr>
              <w:t>4</w:t>
            </w:r>
          </w:p>
        </w:tc>
        <w:tc>
          <w:tcPr>
            <w:tcW w:type="dxa" w:w="3672"/>
            <w:tcMar>
              <w:top w:w="95" w:type="dxa"/>
              <w:left w:w="95" w:type="dxa"/>
              <w:bottom w:w="95" w:type="dxa"/>
              <w:right w:w="95" w:type="dxa"/>
            </w:tcMar>
          </w:tcPr>
          <w:p>
            <w:pPr>
              <w:keepLines/>
              <w:spacing w:after="40" w:line="252" w:lineRule="auto"/>
            </w:pPr>
            <w:r>
              <w:rPr>
                <w:rFonts w:ascii="Arial" w:hAnsi="Arial"/>
                <w:sz w:val="22"/>
              </w:rPr>
            </w:r>
          </w:p>
        </w:tc>
        <w:tc>
          <w:tcPr>
            <w:tcW w:type="dxa" w:w="4176"/>
            <w:tcMar>
              <w:top w:w="95" w:type="dxa"/>
              <w:left w:w="95" w:type="dxa"/>
              <w:bottom w:w="95" w:type="dxa"/>
              <w:right w:w="95" w:type="dxa"/>
            </w:tcMar>
          </w:tcPr>
          <w:p>
            <w:pPr>
              <w:keepLines/>
              <w:spacing w:after="40" w:line="252" w:lineRule="auto"/>
            </w:pPr>
            <w:r>
              <w:rPr>
                <w:rFonts w:ascii="Arial" w:hAnsi="Arial"/>
                <w:sz w:val="22"/>
              </w:rPr>
            </w:r>
          </w:p>
        </w:tc>
      </w:tr>
    </w:tbl>
    <w:p>
      <w:pPr>
        <w:keepLines/>
        <w:spacing w:after="0"/>
      </w:pPr>
    </w:p>
    <w:p>
      <w:r>
        <w:br w:type="page"/>
      </w:r>
    </w:p>
    <w:p>
      <w:pPr>
        <w:pStyle w:val="Kicker"/>
        <w:keepLines/>
      </w:pPr>
      <w:r>
        <w:t>LAUNCH HUMANITIES / PUPIL SHEET 4</w:t>
      </w:r>
    </w:p>
    <w:p>
      <w:pPr>
        <w:pStyle w:val="Title"/>
        <w:keepLines/>
      </w:pPr>
      <w:r>
        <w:t>Judge and respond</w:t>
      </w:r>
    </w:p>
    <w:p>
      <w:pPr>
        <w:pStyle w:val="Subtitle"/>
        <w:keepLines/>
      </w:pPr>
      <w:r>
        <w:t>Autumn 1 · Week 7 · Source-based assessment</w:t>
      </w:r>
    </w:p>
    <w:p>
      <w:pPr>
        <w:keepLines/>
      </w:pPr>
      <w:r>
        <w:t>Leave the first response visible. Corrections show learning; record when feedback was given.</w:t>
      </w:r>
    </w:p>
    <w:p>
      <w:pPr>
        <w:keepLines/>
      </w:pPr>
      <w:r>
        <w:rPr>
          <w:b/>
        </w:rPr>
        <w:t>The most serious error is __________ because __________.</w:t>
      </w:r>
    </w:p>
    <w:p>
      <w:pPr>
        <w:pStyle w:val="ResponseLine"/>
        <w:keepLines/>
      </w:pPr>
      <w:r>
        <w:t xml:space="preserve"> </w:t>
      </w:r>
    </w:p>
    <w:p>
      <w:pPr>
        <w:pStyle w:val="ResponseLine"/>
        <w:keepLines/>
      </w:pPr>
      <w:r>
        <w:t xml:space="preserve"> </w:t>
      </w:r>
    </w:p>
    <w:p>
      <w:pPr>
        <w:keepLines/>
      </w:pPr>
      <w:r>
        <w:rPr>
          <w:b/>
        </w:rPr>
        <w:t>A precise improvement to my own answer:</w:t>
      </w:r>
    </w:p>
    <w:p>
      <w:pPr>
        <w:pStyle w:val="ResponseLine"/>
        <w:keepLines/>
      </w:pPr>
      <w:r>
        <w:t xml:space="preserve"> </w:t>
      </w:r>
    </w:p>
    <w:p>
      <w:pPr>
        <w:pStyle w:val="ResponseLine"/>
        <w:keepLines/>
      </w:pPr>
      <w:r>
        <w:t xml:space="preserve"> </w:t>
      </w:r>
    </w:p>
    <w:p>
      <w:pPr>
        <w:keepLines/>
      </w:pPr>
      <w:r>
        <w:rPr>
          <w:b/>
        </w:rPr>
        <w:t>What my listener heard:</w:t>
      </w:r>
    </w:p>
    <w:p>
      <w:pPr>
        <w:pStyle w:val="ResponseLine"/>
        <w:keepLines/>
      </w:pPr>
      <w:r>
        <w:t xml:space="preserve"> </w:t>
      </w:r>
    </w:p>
    <w:p>
      <w:pPr>
        <w:pStyle w:val="ResponseLine"/>
        <w:keepLines/>
      </w:pPr>
      <w:r>
        <w:t xml:space="preserve"> </w:t>
      </w:r>
    </w:p>
    <w:p>
      <w:pPr>
        <w:keepLines/>
      </w:pPr>
      <w:r>
        <w:rPr>
          <w:b/>
        </w:rPr>
        <w:t>I kept / changed my judgement because:</w:t>
      </w:r>
    </w:p>
    <w:p>
      <w:pPr>
        <w:pStyle w:val="ResponseLine"/>
        <w:keepLines/>
      </w:pPr>
      <w:r>
        <w:t xml:space="preserve"> </w:t>
      </w:r>
    </w:p>
    <w:p>
      <w:pPr>
        <w:pStyle w:val="ResponseLine"/>
        <w:keepLines/>
      </w:pPr>
      <w:r>
        <w:t xml:space="preserve"> </w:t>
      </w:r>
    </w:p>
    <w:sectPr w:rsidR="00FC693F" w:rsidRPr="0006063C" w:rsidSect="00034616">
      <w:headerReference w:type="default" r:id="rId9"/>
      <w:footerReference w:type="default" r:id="rId10"/>
      <w:pgSz w:w="11906" w:h="16838"/>
      <w:pgMar w:top="1020" w:right="1020" w:bottom="1020"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Pr>
    <w:r>
      <w:rPr>
        <w:rFonts w:ascii="Arial" w:hAnsi="Arial"/>
        <w:color w:val="54656C"/>
        <w:sz w:val="17"/>
      </w:rPr>
      <w:t xml:space="preserve">Autumn 1 · Week 7  |  Pupil sheet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pBdr>
        <w:bottom w:val="single" w:sz="8" w:color="DCE7DD" w:space="5"/>
      </w:pBdr>
    </w:pPr>
    <w:r>
      <w:rPr>
        <w:rFonts w:ascii="Arial" w:hAnsi="Arial"/>
      </w:rPr>
    </w:r>
    <w:r>
      <w:rPr>
        <w:rFonts w:ascii="Arial" w:hAnsi="Arial"/>
      </w:rPr>
      <w:t xml:space="preserve">  MADE BY MATT  /  LAUNCH HUMANITIES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360" w:hanging="180"/>
      </w:pPr>
      <w:rPr>
        <w:rFonts w:ascii="Arial" w:hAnsi="Arial"/>
      </w:rPr>
    </w:lvl>
  </w:abstractNum>
  <w:num w:numId="10">
    <w:abstractNumId w:val="9"/>
  </w:num>
  <w:abstractNum w:abstractNumId="10">
    <w:lvl w:ilvl="0">
      <w:start w:val="1"/>
      <w:numFmt w:val="bullet"/>
      <w:lvlText w:val="•"/>
      <w:lvlJc w:val="left"/>
      <w:pPr>
        <w:ind w:left="360" w:hanging="180"/>
      </w:pPr>
      <w:rPr>
        <w:rFonts w:ascii="Arial" w:hAnsi="Arial"/>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9" w:lineRule="auto"/>
    </w:pPr>
    <w:rPr>
      <w:rFonts w:ascii="Arial" w:hAnsi="Arial" w:eastAsia="Arial" w:cs="Arial"/>
      <w:b w:val="0"/>
      <w:color w:val="152B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4" w:lineRule="auto"/>
      <w:outlineLvl w:val="0"/>
    </w:pPr>
    <w:rPr>
      <w:rFonts w:ascii="Arial" w:hAnsi="Arial" w:eastAsia="Arial" w:cs="Arial"/>
      <w:b/>
      <w:bCs/>
      <w:color w:val="28685E"/>
      <w:sz w:val="30"/>
      <w:szCs w:val="28"/>
    </w:rPr>
  </w:style>
  <w:style w:type="paragraph" w:styleId="Heading2">
    <w:name w:val="heading 2"/>
    <w:basedOn w:val="Normal"/>
    <w:next w:val="Normal"/>
    <w:link w:val="Heading2Char"/>
    <w:uiPriority w:val="9"/>
    <w:unhideWhenUsed/>
    <w:qFormat/>
    <w:rsid w:val="00FC693F"/>
    <w:pPr>
      <w:keepNext/>
      <w:keepLines/>
      <w:widowControl/>
      <w:spacing w:before="140" w:after="80" w:line="254" w:lineRule="auto"/>
      <w:outlineLvl w:val="1"/>
    </w:pPr>
    <w:rPr>
      <w:rFonts w:ascii="Arial" w:hAnsi="Arial" w:eastAsia="Arial" w:cs="Arial"/>
      <w:b/>
      <w:bCs/>
      <w:color w:val="152B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50" w:lineRule="auto" w:before="0"/>
      <w:contextualSpacing/>
    </w:pPr>
    <w:rPr>
      <w:rFonts w:ascii="Arial" w:hAnsi="Arial" w:eastAsia="Arial" w:cs="Arial"/>
      <w:b/>
      <w:color w:val="152B3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00" w:line="252" w:lineRule="auto"/>
    </w:pPr>
    <w:rPr>
      <w:rFonts w:ascii="Arial" w:hAnsi="Arial" w:eastAsia="Arial" w:cs="Arial"/>
      <w:b w:val="0"/>
      <w:i w:val="0"/>
      <w:iCs/>
      <w:color w:val="54656C"/>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9" w:lineRule="auto"/>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40" w:line="250" w:lineRule="auto"/>
    </w:pPr>
    <w:rPr>
      <w:rFonts w:ascii="Arial" w:hAnsi="Arial" w:eastAsia="Arial" w:cs="Arial"/>
      <w:b/>
      <w:color w:val="28685E"/>
      <w:sz w:val="18"/>
    </w:rPr>
  </w:style>
  <w:style w:type="paragraph" w:customStyle="1" w:styleId="Small">
    <w:name w:val="Small"/>
    <w:pPr>
      <w:widowControl/>
      <w:spacing w:before="0" w:after="120" w:line="254" w:lineRule="auto"/>
    </w:pPr>
    <w:rPr>
      <w:rFonts w:ascii="Arial" w:hAnsi="Arial" w:eastAsia="Arial" w:cs="Arial"/>
      <w:b w:val="0"/>
      <w:color w:val="54656C"/>
      <w:sz w:val="18"/>
    </w:rPr>
  </w:style>
  <w:style w:type="paragraph" w:customStyle="1" w:styleId="ResponseLine">
    <w:name w:val="ResponseLine"/>
    <w:pPr>
      <w:widowControl/>
      <w:spacing w:before="0" w:after="0" w:line="480" w:lineRule="exact"/>
    </w:pPr>
    <w:rPr>
      <w:rFonts w:ascii="Arial" w:hAnsi="Arial" w:eastAsia="Arial" w:cs="Arial"/>
      <w:b w:val="0"/>
      <w:color w:val="152B3A"/>
      <w:sz w:val="24"/>
    </w:rPr>
  </w:style>
  <w:style w:type="paragraph" w:customStyle="1" w:styleId="Callout">
    <w:name w:val="Callout"/>
    <w:pPr>
      <w:widowControl/>
      <w:spacing w:before="120" w:after="180" w:line="254" w:lineRule="auto"/>
    </w:pPr>
    <w:rPr>
      <w:rFonts w:ascii="Arial" w:hAnsi="Arial" w:eastAsia="Arial" w:cs="Arial"/>
      <w:b w:val="0"/>
      <w:color w:val="152B3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LAUNCH Humanities • Autumn 1</dc:title>
  <dc:subject>Humanities, Autumn 1, Weeks 3–7</dc:subject>
  <dc:creator>Made by Matt</dc:creator>
  <cp:keywords>Humanities; Autumn 1; 2026–27</cp:keywords>
  <dc:description>generated by python-docx</dc:description>
  <cp:lastModifiedBy/>
  <cp:revision>1</cp:revision>
  <dcterms:created xsi:type="dcterms:W3CDTF">2013-12-23T23:15:00Z</dcterms:created>
  <dcterms:modified xsi:type="dcterms:W3CDTF">2013-12-23T23:15:00Z</dcterms:modified>
  <cp:category/>
</cp:coreProperties>
</file>