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Teacher notes and answers</w:t>
      </w:r>
    </w:p>
    <w:p>
      <w:pPr>
        <w:pStyle w:val="Subtitle"/>
      </w:pPr>
      <w:r>
        <w:t>Our sustainability decision report | LAUNCH_SU1_W06 | STAFF ONLY</w:t>
      </w:r>
    </w:p>
    <w:p>
      <w:pPr>
        <w:pStyle w:val="Heading1"/>
      </w:pPr>
      <w:r>
        <w:t>Lesson alignment</w:t>
      </w:r>
    </w:p>
    <w:p>
      <w:r>
        <w:t>Outcome: Complete a sustainability decision report.</w:t>
      </w:r>
    </w:p>
    <w:p>
      <w:r>
        <w:t>Evidence: S: decision report against unit success criteria; retain evidence.</w:t>
      </w:r>
    </w:p>
    <w:p>
      <w:r>
        <w:t>Teaching: Score options against explicit criteria. Use unit evidence to write a reasoned report explaining the preferred option, trade-offs, limitations and a realistic next action.</w:t>
      </w:r>
    </w:p>
    <w:p>
      <w:pPr>
        <w:pStyle w:val="Heading1"/>
      </w:pPr>
      <w:r>
        <w:t>Preparation</w:t>
      </w:r>
    </w:p>
    <w:p>
      <w:r>
        <w:t>Prepare the cards, organiser and one task route. Model the four steps before independent work. Use the supplied source record and distinguish real evidence from authored scenarios. The teacher supplies the school’s copy of No One Is Too Small by Greta Thunberg; no extract or quotation is included. Use the two authored options and the explicit three-criterion scoring grid. Accept the pupil’s supported conclusion or a faithful dated adult note. Record support used; this is adult-life work, not an examination.</w:t>
      </w:r>
    </w:p>
    <w:p>
      <w:r>
        <w:t>Offer a calm start, an agreed pause and a private response option. Accept speech, pointing, typing or writing. Invite reasoned disagreement without personal or family disclosure.</w:t>
      </w:r>
    </w:p>
    <w:p>
      <w:r>
        <w:br w:type="page"/>
      </w:r>
    </w:p>
    <w:p>
      <w:pPr>
        <w:pStyle w:val="Title"/>
      </w:pPr>
      <w:r>
        <w:t>Exact unit wording</w:t>
      </w:r>
    </w:p>
    <w:p>
      <w:pPr>
        <w:pStyle w:val="Subtitle"/>
      </w:pPr>
      <w:r>
        <w:t>Scheme of work: LAUNCH Summer 1</w:t>
      </w:r>
    </w:p>
    <w:p>
      <w:pPr>
        <w:pStyle w:val="Heading1"/>
      </w:pPr>
      <w:r>
        <w:t>Unit</w:t>
      </w:r>
    </w:p>
    <w:p>
      <w:r>
        <w:t>Resources climate and sustainability</w:t>
      </w:r>
    </w:p>
    <w:p>
      <w:pPr>
        <w:pStyle w:val="Heading1"/>
      </w:pPr>
      <w:r>
        <w:t>Enquiry</w:t>
      </w:r>
    </w:p>
    <w:p>
      <w:r>
        <w:t>How can we make a justified decision about sustainability?</w:t>
      </w:r>
    </w:p>
    <w:p>
      <w:pPr>
        <w:pStyle w:val="Heading1"/>
      </w:pPr>
      <w:r>
        <w:t>Success criteria</w:t>
      </w:r>
    </w:p>
    <w:p>
      <w:r>
        <w:t>I can interpret resource and climate evidence, evaluate responses, compare options against criteria and justify a practical decision.</w:t>
      </w:r>
    </w:p>
    <w:p>
      <w:pPr>
        <w:pStyle w:val="Heading1"/>
      </w:pPr>
      <w:r>
        <w:t>Vocabulary</w:t>
      </w:r>
    </w:p>
    <w:p>
      <w:r>
        <w:t>resource, sustainability, climate change, mitigation, adaptation, cause, effect, response, evidence, provenance, usefulness, decision, criteria</w:t>
      </w:r>
    </w:p>
    <w:p>
      <w:pPr>
        <w:pStyle w:val="Heading1"/>
      </w:pPr>
      <w:r>
        <w:t>Resources</w:t>
      </w:r>
    </w:p>
    <w:p>
      <w:r>
        <w:t>Climate and sustainability data; selected No One Is Too Small extracts by Thunberg; online data sets; curated sources; highlighters; prepared tables; spreadsheet or graph paper; planning frame; presentation device; glossary.</w:t>
      </w:r>
    </w:p>
    <w:p>
      <w:pPr>
        <w:pStyle w:val="Heading1"/>
      </w:pPr>
      <w:r>
        <w:t>Access and challenge</w:t>
      </w:r>
    </w:p>
    <w:p>
      <w:r>
        <w:t>Pre-teach terminology and model evidence use. Chunk sources and data; provide an initial frame, then reduce it. Maintain normal access arrangements. Extend by weighing limitations, alternative explanations and evidence quality. Adults support access and evidence selection without supplying answers. Use labelled examples and a reduced data set before the full task.</w:t>
      </w:r>
    </w:p>
    <w:p>
      <w:r>
        <w:br w:type="page"/>
      </w:r>
    </w:p>
    <w:p>
      <w:pPr>
        <w:pStyle w:val="Title"/>
      </w:pPr>
      <w:r>
        <w:t>Teaching sequence</w:t>
      </w:r>
    </w:p>
    <w:p>
      <w:pPr>
        <w:pStyle w:val="Subtitle"/>
      </w:pPr>
      <w:r>
        <w:t>Nine stages totalling forty minutes</w:t>
      </w:r>
    </w:p>
    <w:tbl>
      <w:tblPr>
        <w:tblW w:type="auto" w:w="0"/>
        <w:tblLayout w:type="fixed"/>
        <w:tblLook w:firstColumn="1" w:firstRow="1" w:lastColumn="0" w:lastRow="0" w:noHBand="0" w:noVBand="1" w:val="04A0"/>
      </w:tblPr>
      <w:tblGrid>
        <w:gridCol w:w="1701"/>
        <w:gridCol w:w="850"/>
        <w:gridCol w:w="7087"/>
      </w:tblGrid>
      <w:tr>
        <w:tc>
          <w:tcPr>
            <w:tcW w:type="dxa" w:w="1701"/>
            <w:tcBorders>
              <w:top w:val="single" w:sz="6" w:color="D9D9D9"/>
              <w:left w:val="single" w:sz="6" w:color="D9D9D9"/>
              <w:bottom w:val="single" w:sz="6" w:color="D9D9D9"/>
              <w:right w:val="single" w:sz="6" w:color="D9D9D9"/>
            </w:tcBorders>
            <w:shd w:fill="EFE3F2"/>
          </w:tcPr>
          <w:p>
            <w:pPr>
              <w:spacing w:before="100" w:after="100"/>
            </w:pPr>
            <w:r>
              <w:rPr>
                <w:b/>
              </w:rPr>
              <w:t>Stage</w:t>
            </w:r>
          </w:p>
        </w:tc>
        <w:tc>
          <w:tcPr>
            <w:tcW w:type="dxa" w:w="850"/>
            <w:tcBorders>
              <w:top w:val="single" w:sz="6" w:color="D9D9D9"/>
              <w:left w:val="single" w:sz="6" w:color="D9D9D9"/>
              <w:bottom w:val="single" w:sz="6" w:color="D9D9D9"/>
              <w:right w:val="single" w:sz="6" w:color="D9D9D9"/>
            </w:tcBorders>
            <w:shd w:fill="EFE3F2"/>
          </w:tcPr>
          <w:p>
            <w:pPr>
              <w:spacing w:before="100" w:after="100"/>
            </w:pPr>
            <w:r>
              <w:rPr>
                <w:b/>
              </w:rPr>
              <w:t>Min</w:t>
            </w:r>
          </w:p>
        </w:tc>
        <w:tc>
          <w:tcPr>
            <w:tcW w:type="dxa" w:w="7087"/>
            <w:tcBorders>
              <w:top w:val="single" w:sz="6" w:color="D9D9D9"/>
              <w:left w:val="single" w:sz="6" w:color="D9D9D9"/>
              <w:bottom w:val="single" w:sz="6" w:color="D9D9D9"/>
              <w:right w:val="single" w:sz="6" w:color="D9D9D9"/>
            </w:tcBorders>
            <w:shd w:fill="EFE3F2"/>
          </w:tcPr>
          <w:p>
            <w:pPr>
              <w:spacing w:before="100" w:after="100"/>
            </w:pPr>
            <w:r>
              <w:rPr>
                <w:b/>
              </w:rPr>
              <w:t>Focus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Opening</w:t>
            </w:r>
          </w:p>
        </w:tc>
        <w:tc>
          <w:tcPr>
            <w:tcW w:type="dxa" w:w="850"/>
            <w:tcBorders>
              <w:top w:val="single" w:sz="6" w:color="D9D9D9"/>
              <w:left w:val="single" w:sz="6" w:color="D9D9D9"/>
              <w:bottom w:val="single" w:sz="6" w:color="D9D9D9"/>
              <w:right w:val="single" w:sz="6" w:color="D9D9D9"/>
            </w:tcBorders>
            <w:shd w:fill="FFFFFF"/>
          </w:tcPr>
          <w:p>
            <w:pPr>
              <w:spacing w:before="100" w:after="100"/>
            </w:pPr>
            <w:r>
              <w:t>0</w:t>
            </w:r>
          </w:p>
        </w:tc>
        <w:tc>
          <w:tcPr>
            <w:tcW w:type="dxa" w:w="7087"/>
            <w:tcBorders>
              <w:top w:val="single" w:sz="6" w:color="D9D9D9"/>
              <w:left w:val="single" w:sz="6" w:color="D9D9D9"/>
              <w:bottom w:val="single" w:sz="6" w:color="D9D9D9"/>
              <w:right w:val="single" w:sz="6" w:color="D9D9D9"/>
            </w:tcBorders>
            <w:shd w:fill="FFFFFF"/>
          </w:tcPr>
          <w:p>
            <w:pPr>
              <w:spacing w:before="100" w:after="100"/>
            </w:pPr>
            <w:r>
              <w:t>State the enquiry and goal.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Arrival</w:t>
            </w:r>
          </w:p>
        </w:tc>
        <w:tc>
          <w:tcPr>
            <w:tcW w:type="dxa" w:w="850"/>
            <w:tcBorders>
              <w:top w:val="single" w:sz="6" w:color="D9D9D9"/>
              <w:left w:val="single" w:sz="6" w:color="D9D9D9"/>
              <w:bottom w:val="single" w:sz="6" w:color="D9D9D9"/>
              <w:right w:val="single" w:sz="6" w:color="D9D9D9"/>
            </w:tcBorders>
            <w:shd w:fill="FFFFFF"/>
          </w:tcPr>
          <w:p>
            <w:pPr>
              <w:spacing w:before="100" w:after="100"/>
            </w:pPr>
            <w:r>
              <w:t>4</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supplied reminders and chosen route.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Starter</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Use vocabulary in context.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6</w:t>
            </w:r>
          </w:p>
        </w:tc>
        <w:tc>
          <w:tcPr>
            <w:tcW w:type="dxa" w:w="7087"/>
            <w:tcBorders>
              <w:top w:val="single" w:sz="6" w:color="D9D9D9"/>
              <w:left w:val="single" w:sz="6" w:color="D9D9D9"/>
              <w:bottom w:val="single" w:sz="6" w:color="D9D9D9"/>
              <w:right w:val="single" w:sz="6" w:color="D9D9D9"/>
            </w:tcBorders>
            <w:shd w:fill="FFFFFF"/>
          </w:tcPr>
          <w:p>
            <w:pPr>
              <w:spacing w:before="100" w:after="100"/>
            </w:pPr>
            <w:r>
              <w:t>Model four steps before independent work.</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We do</w:t>
            </w:r>
          </w:p>
        </w:tc>
        <w:tc>
          <w:tcPr>
            <w:tcW w:type="dxa" w:w="850"/>
            <w:tcBorders>
              <w:top w:val="single" w:sz="6" w:color="D9D9D9"/>
              <w:left w:val="single" w:sz="6" w:color="D9D9D9"/>
              <w:bottom w:val="single" w:sz="6" w:color="D9D9D9"/>
              <w:right w:val="single" w:sz="6" w:color="D9D9D9"/>
            </w:tcBorders>
            <w:shd w:fill="FFFFFF"/>
          </w:tcPr>
          <w:p>
            <w:pPr>
              <w:spacing w:before="100" w:after="100"/>
            </w:pPr>
            <w:r>
              <w:t>7</w:t>
            </w:r>
          </w:p>
        </w:tc>
        <w:tc>
          <w:tcPr>
            <w:tcW w:type="dxa" w:w="7087"/>
            <w:tcBorders>
              <w:top w:val="single" w:sz="6" w:color="D9D9D9"/>
              <w:left w:val="single" w:sz="6" w:color="D9D9D9"/>
              <w:bottom w:val="single" w:sz="6" w:color="D9D9D9"/>
              <w:right w:val="single" w:sz="6" w:color="D9D9D9"/>
            </w:tcBorders>
            <w:shd w:fill="FFFFFF"/>
          </w:tcPr>
          <w:p>
            <w:pPr>
              <w:spacing w:before="100" w:after="100"/>
            </w:pPr>
            <w:r>
              <w:t>Operate the shared activity; explain choices.</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Check</w:t>
            </w:r>
          </w:p>
        </w:tc>
        <w:tc>
          <w:tcPr>
            <w:tcW w:type="dxa" w:w="850"/>
            <w:tcBorders>
              <w:top w:val="single" w:sz="6" w:color="D9D9D9"/>
              <w:left w:val="single" w:sz="6" w:color="D9D9D9"/>
              <w:bottom w:val="single" w:sz="6" w:color="D9D9D9"/>
              <w:right w:val="single" w:sz="6" w:color="D9D9D9"/>
            </w:tcBorders>
            <w:shd w:fill="FFFFFF"/>
          </w:tcPr>
          <w:p>
            <w:pPr>
              <w:spacing w:before="100" w:after="100"/>
            </w:pPr>
            <w:r>
              <w:t>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 claim against evidence.</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Independent</w:t>
            </w:r>
          </w:p>
        </w:tc>
        <w:tc>
          <w:tcPr>
            <w:tcW w:type="dxa" w:w="850"/>
            <w:tcBorders>
              <w:top w:val="single" w:sz="6" w:color="D9D9D9"/>
              <w:left w:val="single" w:sz="6" w:color="D9D9D9"/>
              <w:bottom w:val="single" w:sz="6" w:color="D9D9D9"/>
              <w:right w:val="single" w:sz="6" w:color="D9D9D9"/>
            </w:tcBorders>
            <w:shd w:fill="FFFFFF"/>
          </w:tcPr>
          <w:p>
            <w:pPr>
              <w:spacing w:before="100" w:after="100"/>
            </w:pPr>
            <w:r>
              <w:t>12</w:t>
            </w:r>
          </w:p>
        </w:tc>
        <w:tc>
          <w:tcPr>
            <w:tcW w:type="dxa" w:w="7087"/>
            <w:tcBorders>
              <w:top w:val="single" w:sz="6" w:color="D9D9D9"/>
              <w:left w:val="single" w:sz="6" w:color="D9D9D9"/>
              <w:bottom w:val="single" w:sz="6" w:color="D9D9D9"/>
              <w:right w:val="single" w:sz="6" w:color="D9D9D9"/>
            </w:tcBorders>
            <w:shd w:fill="FFFFFF"/>
          </w:tcPr>
          <w:p>
            <w:pPr>
              <w:spacing w:before="100" w:after="100"/>
            </w:pPr>
            <w:r>
              <w:t>Fade content prompts, retain access support.</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Review</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Check and improve one detail.</w:t>
            </w:r>
          </w:p>
        </w:tc>
      </w:tr>
      <w:tr>
        <w:tc>
          <w:tcPr>
            <w:tcW w:type="dxa" w:w="1701"/>
            <w:tcBorders>
              <w:top w:val="single" w:sz="6" w:color="D9D9D9"/>
              <w:left w:val="single" w:sz="6" w:color="D9D9D9"/>
              <w:bottom w:val="single" w:sz="6" w:color="D9D9D9"/>
              <w:right w:val="single" w:sz="6" w:color="D9D9D9"/>
            </w:tcBorders>
            <w:shd w:fill="FFFFFF"/>
          </w:tcPr>
          <w:p>
            <w:pPr>
              <w:spacing w:before="100" w:after="100"/>
            </w:pPr>
            <w:r>
              <w:t>Exit</w:t>
            </w:r>
          </w:p>
        </w:tc>
        <w:tc>
          <w:tcPr>
            <w:tcW w:type="dxa" w:w="850"/>
            <w:tcBorders>
              <w:top w:val="single" w:sz="6" w:color="D9D9D9"/>
              <w:left w:val="single" w:sz="6" w:color="D9D9D9"/>
              <w:bottom w:val="single" w:sz="6" w:color="D9D9D9"/>
              <w:right w:val="single" w:sz="6" w:color="D9D9D9"/>
            </w:tcBorders>
            <w:shd w:fill="FFFFFF"/>
          </w:tcPr>
          <w:p>
            <w:pPr>
              <w:spacing w:before="100" w:after="100"/>
            </w:pPr>
            <w:r>
              <w:t>3</w:t>
            </w:r>
          </w:p>
        </w:tc>
        <w:tc>
          <w:tcPr>
            <w:tcW w:type="dxa" w:w="7087"/>
            <w:tcBorders>
              <w:top w:val="single" w:sz="6" w:color="D9D9D9"/>
              <w:left w:val="single" w:sz="6" w:color="D9D9D9"/>
              <w:bottom w:val="single" w:sz="6" w:color="D9D9D9"/>
              <w:right w:val="single" w:sz="6" w:color="D9D9D9"/>
            </w:tcBorders>
            <w:shd w:fill="FFFFFF"/>
          </w:tcPr>
          <w:p>
            <w:pPr>
              <w:spacing w:before="100" w:after="100"/>
            </w:pPr>
            <w:r>
              <w:t>Hear two individual responses.</w:t>
            </w:r>
          </w:p>
        </w:tc>
      </w:tr>
    </w:tbl>
    <w:p>
      <w:pPr>
        <w:pStyle w:val="Heading1"/>
      </w:pPr>
      <w:r>
        <w:t>Worked model</w:t>
      </w:r>
    </w:p>
    <w:p>
      <w:r>
        <w:t>Question: How do I support a feasibility score for the paper-reuse option?</w:t>
      </w:r>
    </w:p>
    <w:p>
      <w:r>
        <w:t>Evidence: The authored scenario supplies teacher permission and a daily tray-check role.</w:t>
      </w:r>
    </w:p>
    <w:p>
      <w:r>
        <w:t>Explain: I can justify 3 for feasibility in this scenario and record that reason.</w:t>
      </w:r>
    </w:p>
    <w:p>
      <w:r>
        <w:t>Check: I still score access and resource benefit, name a trade-off and check real local evidence.</w:t>
      </w:r>
    </w:p>
    <w:p>
      <w:r>
        <w:br w:type="page"/>
      </w:r>
    </w:p>
    <w:p>
      <w:pPr>
        <w:pStyle w:val="Title"/>
      </w:pPr>
      <w:r>
        <w:t>Arrival answers</w:t>
      </w:r>
    </w:p>
    <w:p>
      <w:pPr>
        <w:pStyle w:val="Subtitle"/>
      </w:pPr>
      <w:r>
        <w:t>Staff only</w:t>
      </w:r>
    </w:p>
    <w:p>
      <w:pPr>
        <w:pStyle w:val="Heading2"/>
      </w:pPr>
      <w:r>
        <w:t>Supported</w:t>
      </w:r>
    </w:p>
    <w:p>
      <w:r>
        <w:t>1. Resource benefit, access for users or feasibility.</w:t>
      </w:r>
    </w:p>
    <w:p>
      <w:r>
        <w:t>2. A detail from the supplied evidence or labelled scenario.</w:t>
      </w:r>
    </w:p>
    <w:p>
      <w:r>
        <w:t>3. A benefit alongside a disadvantage.</w:t>
      </w:r>
    </w:p>
    <w:p>
      <w:r>
        <w:t>4. Access support and any content prompts used.</w:t>
      </w:r>
    </w:p>
    <w:p>
      <w:pPr>
        <w:pStyle w:val="Heading2"/>
      </w:pPr>
      <w:r>
        <w:t>Standard</w:t>
      </w:r>
    </w:p>
    <w:p>
      <w:r>
        <w:t>1. Preferred option, criterion evidence, trade-offs, limitations and next action.</w:t>
      </w:r>
    </w:p>
    <w:p>
      <w:r>
        <w:t>2. No. They are reasoned judgements about the scenario.</w:t>
      </w:r>
    </w:p>
    <w:p>
      <w:r>
        <w:t>3. No. CO2 concentration data do not establish the result of that school action.</w:t>
      </w:r>
    </w:p>
    <w:p>
      <w:r>
        <w:t>4. It shows how the decision can be checked or carried out responsibly.</w:t>
      </w:r>
    </w:p>
    <w:p>
      <w:pPr>
        <w:pStyle w:val="Heading2"/>
      </w:pPr>
      <w:r>
        <w:t>Stretch</w:t>
      </w:r>
    </w:p>
    <w:p>
      <w:r>
        <w:t>1. The total depends on judgements and weights; important needs still require explanation.</w:t>
      </w:r>
    </w:p>
    <w:p>
      <w:r>
        <w:t>2. Change the relevant assumption, rescore and check whether the preference changes.</w:t>
      </w:r>
    </w:p>
    <w:p>
      <w:r>
        <w:t>3. The pupil selects and explains the decision; any support or prompts are recorded.</w:t>
      </w:r>
    </w:p>
    <w:p>
      <w:r>
        <w:t>4. Checked counts, permissions, access needs or feasibility information could change the decision.</w:t>
      </w:r>
    </w:p>
    <w:p>
      <w:r>
        <w:br w:type="page"/>
      </w:r>
    </w:p>
    <w:p>
      <w:pPr>
        <w:pStyle w:val="Title"/>
      </w:pPr>
      <w:r>
        <w:t>Checks and assessment</w:t>
      </w:r>
    </w:p>
    <w:p>
      <w:pPr>
        <w:pStyle w:val="Subtitle"/>
      </w:pPr>
      <w:r>
        <w:t>Retain the learner’s own response and support record</w:t>
      </w:r>
    </w:p>
    <w:p>
      <w:r>
        <w:t>Preferred option, criterion evidence, trade-offs, limitations and next action.</w:t>
      </w:r>
    </w:p>
    <w:p>
      <w:r>
        <w:t>I can justify 3 for feasibility in this scenario and record that reason.</w:t>
      </w:r>
    </w:p>
    <w:p>
      <w:r>
        <w:t>Accept different preferences if scores and reasons use the option evidence consistently. Require trade-offs, a limitation and realistic next action. Record communication support separately from content prompts. An adult note may record the learner’s own words.</w:t>
      </w:r>
    </w:p>
    <w:p>
      <w:r>
        <w:t>Accept accurate pointing, speech, drawing, typing or writing. Require a named detail and reason where asked. Do not treat a copied model as an independent response.</w:t>
      </w:r>
    </w:p>
    <w:p>
      <w:r>
        <w:t>Retain the individual report, criterion grid and support record. Keep access arrangements while removing answer models and recording any content prompts.</w:t>
      </w:r>
    </w:p>
    <w:p>
      <w:r>
        <w:br w:type="page"/>
      </w:r>
    </w:p>
    <w:p>
      <w:pPr>
        <w:pStyle w:val="Title"/>
      </w:pPr>
      <w:r>
        <w:t>Sources and evidence record</w:t>
      </w:r>
    </w:p>
    <w:p>
      <w:pPr>
        <w:pStyle w:val="Subtitle"/>
      </w:pPr>
      <w:r>
        <w:t>Keep with the teacher copy</w:t>
      </w:r>
    </w:p>
    <w:p>
      <w:r>
        <w:t>Evidence and factual claim record: ../../../Sources_and_checks.html#w06</w:t>
      </w:r>
    </w:p>
    <w:p>
      <w:r>
        <w:t>Exact unit scheme and access text: ../../../Sources_and_checks.html#sow</w:t>
      </w:r>
    </w:p>
    <w:p>
      <w:r>
        <w:t>Authored scenarios and limits: ../../../Sources_and_checks.html#authored</w:t>
      </w:r>
    </w:p>
    <w:p>
      <w:r>
        <w:t>Teacher-supplied book and source checks: ../../../Sources_and_checks.html#book</w:t>
      </w:r>
    </w:p>
    <w:p>
      <w:r>
        <w:t>Full claims, URLs, access dates and reading results: root Sources_and_checks.html. New pictures are authored teaching diagrams. The teacher supplies the school’s copy of No One Is Too Small by Greta Thunberg. This pack includes no quotation or extract.</w:t>
      </w:r>
    </w:p>
    <w:p>
      <w:r>
        <w:rPr>
          <w:b/>
        </w:rPr>
        <w:t>Preparation and source checks</w:t>
      </w:r>
    </w:p>
    <w:p>
      <w:r>
        <w:t>________________________________________________________________</w:t>
      </w:r>
    </w:p>
    <w:p>
      <w:r>
        <w:t>________________________________________________________________</w:t>
      </w:r>
    </w:p>
    <w:p>
      <w:r>
        <w:rPr>
          <w:b/>
        </w:rPr>
        <w:t>Learner’s own response and selected evidence</w:t>
      </w:r>
    </w:p>
    <w:p>
      <w:r>
        <w:t>________________________________________________________________</w:t>
      </w:r>
    </w:p>
    <w:p>
      <w:r>
        <w:t>________________________________________________________________</w:t>
      </w:r>
    </w:p>
    <w:p>
      <w:r>
        <w:rPr>
          <w:b/>
        </w:rPr>
        <w:t>Access support / content prompts / adult note</w:t>
      </w:r>
    </w:p>
    <w:p>
      <w:r>
        <w:t>________________________________________________________________</w:t>
      </w:r>
    </w:p>
    <w:p>
      <w:r>
        <w:t>________________________________________________________________</w:t>
      </w:r>
    </w:p>
    <w:p>
      <w:r>
        <w:rPr>
          <w:b/>
        </w:rPr>
        <w:t>Accuracy check and next step</w:t>
      </w:r>
    </w:p>
    <w:p>
      <w:r>
        <w:t>________________________________________________________________</w:t>
      </w:r>
    </w:p>
    <w:p>
      <w:r>
        <w:t>________________________________________________________________</w:t>
      </w:r>
    </w:p>
    <w:p>
      <w:r>
        <w:br w:type="page"/>
      </w:r>
    </w:p>
    <w:p>
      <w:pPr>
        <w:pStyle w:val="Heading1"/>
      </w:pPr>
      <w:r>
        <w:t>Lesson vocabulary</w:t>
      </w:r>
    </w:p>
    <w:p>
      <w:r>
        <w:t>Use these definitions with the lesson and knowledge organiser.</w:t>
      </w:r>
    </w:p>
    <w:p>
      <w:r>
        <w:rPr>
          <w:b/>
        </w:rPr>
        <w:t xml:space="preserve">criterion — </w:t>
      </w:r>
      <w:r>
        <w:t>A stated feature used to compare options</w:t>
      </w:r>
    </w:p>
    <w:p>
      <w:r>
        <w:rPr>
          <w:b/>
        </w:rPr>
        <w:t xml:space="preserve">trade-off — </w:t>
      </w:r>
      <w:r>
        <w:t>A choice involving benefits and disadvantages</w:t>
      </w:r>
    </w:p>
    <w:p>
      <w:r>
        <w:rPr>
          <w:b/>
        </w:rPr>
        <w:t xml:space="preserve">limitation — </w:t>
      </w:r>
      <w:r>
        <w:t>Something the evidence cannot establish</w:t>
      </w:r>
    </w:p>
    <w:p>
      <w:r>
        <w:rPr>
          <w:b/>
        </w:rPr>
        <w:t xml:space="preserve">decision — </w:t>
      </w:r>
      <w:r>
        <w:t>A choice justified by evidence and criteria</w:t>
      </w:r>
    </w:p>
    <w:sectPr w:rsidR="00FC693F" w:rsidRPr="0006063C" w:rsidSect="00034616">
      <w:pgSz w:w="11906" w:h="16838"/>
      <w:pgMar w:top="907"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