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Teacher notes and answers</w:t>
      </w:r>
    </w:p>
    <w:p>
      <w:pPr>
        <w:pStyle w:val="Subtitle"/>
      </w:pPr>
      <w:r>
        <w:t>Our locality study and evidence | GROW_SU1_W06 | STAFF ONLY</w:t>
      </w:r>
    </w:p>
    <w:p>
      <w:pPr>
        <w:pStyle w:val="Heading1"/>
      </w:pPr>
      <w:r>
        <w:t>Lesson alignment</w:t>
      </w:r>
    </w:p>
    <w:p>
      <w:r>
        <w:t>Outcome: Complete a fieldwork and locality study and bank UAS evidence.</w:t>
      </w:r>
    </w:p>
    <w:p>
      <w:r>
        <w:t>Evidence: S: enquiry outcome, map/data accuracy and conclusion; retain evidence.</w:t>
      </w:r>
    </w:p>
    <w:p>
      <w:r>
        <w:t>Teaching: Assemble the enquiry question, method, mapped observations and comparison. Independently state a conclusion supported by data; review accuracy and select evidence for UAS.</w:t>
      </w:r>
    </w:p>
    <w:p>
      <w:pPr>
        <w:pStyle w:val="Heading1"/>
      </w:pPr>
      <w:r>
        <w:t>Preparation</w:t>
      </w:r>
    </w:p>
    <w:p>
      <w:r>
        <w:t>Use the class enquiry and checked observations from Week 3, feature labels from Week 4 and the place comparison from Week 5. Learners may rebuild missing sections using the supplied practice evidence, clearly labelled as practice. Model on a different short example before independent assessment. Keep communication and access support, remove answer models, record prompts and accept a dated adult note of the learner’s own explanation. Select evidence for centre checking against an appropriate UAS outcome; assign no unit code here. Store only school-approved learner identifiers, never home addresses.</w:t>
      </w:r>
    </w:p>
    <w:p>
      <w:r>
        <w:t>Give a calm entry and a private way to respond. Offer an agreed pause and one clear step for returning. Accept pointing, speech, drawing, typing or writing without personal disclosure.</w:t>
      </w:r>
    </w:p>
    <w:p>
      <w:r>
        <w:br w:type="page"/>
      </w:r>
    </w:p>
    <w:p>
      <w:pPr>
        <w:pStyle w:val="Title"/>
      </w:pPr>
      <w:r>
        <w:t>Exact unit wording</w:t>
      </w:r>
    </w:p>
    <w:p>
      <w:pPr>
        <w:pStyle w:val="Subtitle"/>
      </w:pPr>
      <w:r>
        <w:t>Scheme of work: GROW Summer 1</w:t>
      </w:r>
    </w:p>
    <w:p>
      <w:pPr>
        <w:pStyle w:val="Heading1"/>
      </w:pPr>
      <w:r>
        <w:t>Unit</w:t>
      </w:r>
    </w:p>
    <w:p>
      <w:r>
        <w:t>My place and the wider world</w:t>
      </w:r>
    </w:p>
    <w:p>
      <w:pPr>
        <w:pStyle w:val="Heading1"/>
      </w:pPr>
      <w:r>
        <w:t>Enquiry</w:t>
      </w:r>
    </w:p>
    <w:p>
      <w:r>
        <w:t>How does our locality compare with other places?</w:t>
      </w:r>
    </w:p>
    <w:p>
      <w:pPr>
        <w:pStyle w:val="Heading1"/>
      </w:pPr>
      <w:r>
        <w:t>Success criteria</w:t>
      </w:r>
    </w:p>
    <w:p>
      <w:r>
        <w:t>I can locate places, use maps and grid references, collect observations, distinguish physical and human features and support a comparison with evidence.</w:t>
      </w:r>
    </w:p>
    <w:p>
      <w:pPr>
        <w:pStyle w:val="Heading1"/>
      </w:pPr>
      <w:r>
        <w:t>Vocabulary</w:t>
      </w:r>
    </w:p>
    <w:p>
      <w:r>
        <w:t>map, location, key, scale, grid reference, GIS, fieldwork, enquiry, data, observation, physical feature, human feature, land use, comparison</w:t>
      </w:r>
    </w:p>
    <w:p>
      <w:pPr>
        <w:pStyle w:val="Heading1"/>
      </w:pPr>
      <w:r>
        <w:t>Resources</w:t>
      </w:r>
    </w:p>
    <w:p>
      <w:r>
        <w:t>OS maps; atlases; digital GIS; local-area resources; contrasting-place images; tally sheets; vocabulary mats; scaffolded organisers.</w:t>
      </w:r>
    </w:p>
    <w:p>
      <w:pPr>
        <w:pStyle w:val="Heading1"/>
      </w:pPr>
      <w:r>
        <w:t>Access and challenge</w:t>
      </w:r>
    </w:p>
    <w:p>
      <w:r>
        <w:t>Chunk sources and tasks; pre-teach vocabulary with images. Offer sentence stems, organisers, oral rehearsal and typing. Start with one modelled example; extend through a second source, comparison or supported judgement. Check the learner can begin within two minutes, then fade prompts. Begin with a simplified map or data set, then add a stretch layer. Use clear fieldwork roles and a return-to-recording routine.</w:t>
      </w:r>
    </w:p>
    <w:p>
      <w:r>
        <w:br w:type="page"/>
      </w:r>
    </w:p>
    <w:p>
      <w:pPr>
        <w:pStyle w:val="Title"/>
      </w:pPr>
      <w:r>
        <w:t>Teaching sequence</w:t>
      </w:r>
    </w:p>
    <w:p>
      <w:pPr>
        <w:pStyle w:val="Subtitle"/>
      </w:pPr>
      <w:r>
        <w:t>Nine stages totalling forty minutes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1701"/>
        <w:gridCol w:w="850"/>
        <w:gridCol w:w="7087"/>
      </w:tblGrid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6EFEB"/>
          </w:tcPr>
          <w:p>
            <w:pPr>
              <w:spacing w:before="100" w:after="100"/>
            </w:pPr>
            <w:r>
              <w:rPr>
                <w:b/>
              </w:rPr>
              <w:t>Stage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6EFEB"/>
          </w:tcPr>
          <w:p>
            <w:pPr>
              <w:spacing w:before="100" w:after="100"/>
            </w:pPr>
            <w:r>
              <w:rPr>
                <w:b/>
              </w:rPr>
              <w:t>Min</w:t>
            </w:r>
          </w:p>
        </w:tc>
        <w:tc>
          <w:tcPr>
            <w:tcW w:type="dxa" w:w="708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E6EFEB"/>
          </w:tcPr>
          <w:p>
            <w:pPr>
              <w:spacing w:before="100" w:after="100"/>
            </w:pPr>
            <w:r>
              <w:rPr>
                <w:b/>
              </w:rPr>
              <w:t>Focus</w:t>
            </w:r>
          </w:p>
        </w:tc>
      </w:tr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Opening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0</w:t>
            </w:r>
          </w:p>
        </w:tc>
        <w:tc>
          <w:tcPr>
            <w:tcW w:type="dxa" w:w="708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State the goal and enquiry.</w:t>
            </w:r>
          </w:p>
        </w:tc>
      </w:tr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Arrival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4</w:t>
            </w:r>
          </w:p>
        </w:tc>
        <w:tc>
          <w:tcPr>
            <w:tcW w:type="dxa" w:w="708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Use a route with the supplied reminders.</w:t>
            </w:r>
          </w:p>
        </w:tc>
      </w:tr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Starter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3</w:t>
            </w:r>
          </w:p>
        </w:tc>
        <w:tc>
          <w:tcPr>
            <w:tcW w:type="dxa" w:w="708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Use the donor vocabulary activity.</w:t>
            </w:r>
          </w:p>
        </w:tc>
      </w:tr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I do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6</w:t>
            </w:r>
          </w:p>
        </w:tc>
        <w:tc>
          <w:tcPr>
            <w:tcW w:type="dxa" w:w="708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Model the four steps.</w:t>
            </w:r>
          </w:p>
        </w:tc>
      </w:tr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We do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7</w:t>
            </w:r>
          </w:p>
        </w:tc>
        <w:tc>
          <w:tcPr>
            <w:tcW w:type="dxa" w:w="708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Use the shared activity and partner checks.</w:t>
            </w:r>
          </w:p>
        </w:tc>
      </w:tr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Check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2</w:t>
            </w:r>
          </w:p>
        </w:tc>
        <w:tc>
          <w:tcPr>
            <w:tcW w:type="dxa" w:w="708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Ask for an explanation and improve it.</w:t>
            </w:r>
          </w:p>
        </w:tc>
      </w:tr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Independent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12</w:t>
            </w:r>
          </w:p>
        </w:tc>
        <w:tc>
          <w:tcPr>
            <w:tcW w:type="dxa" w:w="708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Fade content prompts, keeping agreed access support.</w:t>
            </w:r>
          </w:p>
        </w:tc>
      </w:tr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Review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3</w:t>
            </w:r>
          </w:p>
        </w:tc>
        <w:tc>
          <w:tcPr>
            <w:tcW w:type="dxa" w:w="708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Check one detail against the evidence.</w:t>
            </w:r>
          </w:p>
        </w:tc>
      </w:tr>
      <w:tr>
        <w:tc>
          <w:tcPr>
            <w:tcW w:type="dxa" w:w="1701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Exit</w:t>
            </w:r>
          </w:p>
        </w:tc>
        <w:tc>
          <w:tcPr>
            <w:tcW w:type="dxa" w:w="850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3</w:t>
            </w:r>
          </w:p>
        </w:tc>
        <w:tc>
          <w:tcPr>
            <w:tcW w:type="dxa" w:w="7087"/>
            <w:tcBorders>
              <w:top w:val="single" w:sz="6" w:color="D9D9D9"/>
              <w:left w:val="single" w:sz="6" w:color="D9D9D9"/>
              <w:bottom w:val="single" w:sz="6" w:color="D9D9D9"/>
              <w:right w:val="single" w:sz="6" w:color="D9D9D9"/>
            </w:tcBorders>
            <w:shd w:fill="FFFFFF"/>
          </w:tcPr>
          <w:p>
            <w:pPr>
              <w:spacing w:before="100" w:after="100"/>
            </w:pPr>
            <w:r>
              <w:t>Hear two individual responses.</w:t>
            </w:r>
          </w:p>
        </w:tc>
      </w:tr>
    </w:tbl>
    <w:p>
      <w:pPr>
        <w:pStyle w:val="Heading1"/>
      </w:pPr>
      <w:r>
        <w:t>Worked model</w:t>
      </w:r>
    </w:p>
    <w:p>
      <w:r>
        <w:t>Question: What can I conclude from a separate practice count of 3 benches and 1 bin at point X?</w:t>
      </w:r>
    </w:p>
    <w:p>
      <w:r>
        <w:t>Evidence: The practice record labels point X and counts 3 benches and 1 bin once each.</w:t>
      </w:r>
    </w:p>
    <w:p>
      <w:r>
        <w:t>Think aloud: More benches than bins were recorded at X. This only answers a question about those counted features.</w:t>
      </w:r>
    </w:p>
    <w:p>
      <w:r>
        <w:t>Check: I label this as practice and note its limit. My own study needs mapped data, a comparison, a conclusion and a record of support.</w:t>
      </w:r>
    </w:p>
    <w:p>
      <w:r>
        <w:br w:type="page"/>
      </w:r>
    </w:p>
    <w:p>
      <w:pPr>
        <w:pStyle w:val="Title"/>
      </w:pPr>
      <w:r>
        <w:t>Arrival answers</w:t>
      </w:r>
    </w:p>
    <w:p>
      <w:pPr>
        <w:pStyle w:val="Subtitle"/>
      </w:pPr>
      <w:r>
        <w:t>Staff only</w:t>
      </w:r>
    </w:p>
    <w:p>
      <w:pPr>
        <w:pStyle w:val="Heading2"/>
      </w:pPr>
      <w:r>
        <w:t>Supported</w:t>
      </w:r>
    </w:p>
    <w:p>
      <w:r>
        <w:t>1. It is a question to investigate.</w:t>
      </w:r>
    </w:p>
    <w:p>
      <w:r>
        <w:t>2. It explains how evidence was collected.</w:t>
      </w:r>
    </w:p>
    <w:p>
      <w:r>
        <w:t>3. On both the observation record and matching plan point.</w:t>
      </w:r>
    </w:p>
    <w:p>
      <w:r>
        <w:t>4. It should use checked evidence.</w:t>
      </w:r>
    </w:p>
    <w:p>
      <w:pPr>
        <w:pStyle w:val="Heading2"/>
      </w:pPr>
      <w:r>
        <w:t>Standard</w:t>
      </w:r>
    </w:p>
    <w:p>
      <w:r>
        <w:t>1. Question, method, mapped observations, comparison and conclusion.</w:t>
      </w:r>
    </w:p>
    <w:p>
      <w:r>
        <w:t>2. Check labels, units and plotted values against the recorded counts.</w:t>
      </w:r>
    </w:p>
    <w:p>
      <w:r>
        <w:t>3. It makes the learner’s contribution and any help clear.</w:t>
      </w:r>
    </w:p>
    <w:p>
      <w:r>
        <w:t>4. Identify the gap and plan an appropriate check.</w:t>
      </w:r>
    </w:p>
    <w:p>
      <w:pPr>
        <w:pStyle w:val="Heading2"/>
      </w:pPr>
      <w:r>
        <w:t>Stretch</w:t>
      </w:r>
    </w:p>
    <w:p>
      <w:r>
        <w:t>1. An accuracy check or new evidence may change the supported answer.</w:t>
      </w:r>
    </w:p>
    <w:p>
      <w:r>
        <w:t>2. Label authored data as practice and keep real observation details separately.</w:t>
      </w:r>
    </w:p>
    <w:p>
      <w:r>
        <w:t>3. The learner’s own response, date, support and prompts.</w:t>
      </w:r>
    </w:p>
    <w:p>
      <w:r>
        <w:t>4. Explain which requirement each selected item demonstrates and state any gap.</w:t>
      </w:r>
    </w:p>
    <w:p>
      <w:r>
        <w:br w:type="page"/>
      </w:r>
    </w:p>
    <w:p>
      <w:pPr>
        <w:pStyle w:val="Title"/>
      </w:pPr>
      <w:r>
        <w:t>Checks and assessment</w:t>
      </w:r>
    </w:p>
    <w:p>
      <w:pPr>
        <w:pStyle w:val="Subtitle"/>
      </w:pPr>
      <w:r>
        <w:t>Record the learner’s own response and support</w:t>
      </w:r>
    </w:p>
    <w:p>
      <w:pPr>
        <w:pStyle w:val="Heading1"/>
      </w:pPr>
      <w:r>
        <w:t>Shared and method checks</w:t>
      </w:r>
    </w:p>
    <w:p>
      <w:r>
        <w:t>It answers the enquiry using checked data and states a limit.</w:t>
      </w:r>
    </w:p>
    <w:p>
      <w:r>
        <w:t>Yes. Record the response faithfully, with the date and all support or prompts used.</w:t>
      </w:r>
    </w:p>
    <w:p>
      <w:r>
        <w:t>Require question, method, mapped observations, comparison and a conclusion that uses checked data. Record source limits and support. For missing prior work, use the Week 3 practice tally and Week 5 cited cards, but identify practice evidence clearly. Adult notes must distinguish the learner’s words from prompts. The centre checks any chosen UAS requirements before banking evidence.</w:t>
      </w:r>
    </w:p>
    <w:p>
      <w:pPr>
        <w:pStyle w:val="Heading1"/>
      </w:pPr>
      <w:r>
        <w:t>Independent and exit judgement</w:t>
      </w:r>
    </w:p>
    <w:p>
      <w:r>
        <w:t>Use the chosen route’s question as the checklist. Accept accurate pointing, speech, drawing, typing or writing. Require a named detail and a reason where asked. Open conclusions may differ if supported. Do not treat a copied model as an independent response.</w:t>
      </w:r>
    </w:p>
    <w:p>
      <w:r>
        <w:t>Retain access support during the individual study. Remove answer models, record all content prompts and keep the learner’s own conclusion or an adult note of it.</w:t>
      </w:r>
    </w:p>
    <w:p>
      <w:r>
        <w:br w:type="page"/>
      </w:r>
    </w:p>
    <w:p>
      <w:pPr>
        <w:pStyle w:val="Title"/>
      </w:pPr>
      <w:r>
        <w:t>Sources and evidence record</w:t>
      </w:r>
    </w:p>
    <w:p>
      <w:pPr>
        <w:pStyle w:val="Subtitle"/>
      </w:pPr>
      <w:r>
        <w:t>Keep with the teacher copy</w:t>
      </w:r>
    </w:p>
    <w:p>
      <w:r>
        <w:t>Authored practice study and evidence checklist: ../../../Sources_and_checks.html#w06</w:t>
      </w:r>
    </w:p>
    <w:p>
      <w:r>
        <w:t>Unit scheme and assessment wording: ../../../Sources_and_checks.html#sow</w:t>
      </w:r>
    </w:p>
    <w:p>
      <w:r>
        <w:t>World-outline provenance record: ../../../Sources_and_checks.html#world-map</w:t>
      </w:r>
    </w:p>
    <w:p>
      <w:r>
        <w:t>The full claim-by-claim record is in the root Sources_and_checks.html. New teaching pictures are authored diagrams, not photographs or surveyed local maps. The retained world reference uses the donor outlines and credit.</w:t>
      </w:r>
    </w:p>
    <w:p>
      <w:r>
        <w:rPr>
          <w:b/>
        </w:rPr>
        <w:t>Local preparation and source checks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rPr>
          <w:b/>
        </w:rPr>
        <w:t>Learner’s own response and evidence selected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rPr>
          <w:b/>
        </w:rPr>
        <w:t>Access support / content prompts / adult note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rPr>
          <w:b/>
        </w:rPr>
        <w:t>Accuracy check and next step</w:t>
      </w:r>
    </w:p>
    <w:p>
      <w:r>
        <w:t>________________________________________________________________</w:t>
      </w:r>
    </w:p>
    <w:p>
      <w:r>
        <w:t>________________________________________________________________</w:t>
      </w:r>
    </w:p>
    <w:p>
      <w:r>
        <w:br w:type="page"/>
      </w:r>
    </w:p>
    <w:p>
      <w:pPr>
        <w:pStyle w:val="Heading1"/>
      </w:pPr>
      <w:r>
        <w:t>Lesson vocabulary</w:t>
      </w:r>
    </w:p>
    <w:p>
      <w:r>
        <w:t>Use these definitions with the lesson and knowledge organiser.</w:t>
      </w:r>
    </w:p>
    <w:p>
      <w:r>
        <w:rPr>
          <w:b/>
        </w:rPr>
        <w:t xml:space="preserve">conclusion — </w:t>
      </w:r>
      <w:r>
        <w:t>An answer supported by the enquiry evidence</w:t>
      </w:r>
    </w:p>
    <w:p>
      <w:r>
        <w:rPr>
          <w:b/>
        </w:rPr>
        <w:t xml:space="preserve">accuracy — </w:t>
      </w:r>
      <w:r>
        <w:t>How closely a record matches the evidence</w:t>
      </w:r>
    </w:p>
    <w:p>
      <w:r>
        <w:rPr>
          <w:b/>
        </w:rPr>
        <w:t xml:space="preserve">comparison — </w:t>
      </w:r>
      <w:r>
        <w:t>A review of similarities and differences</w:t>
      </w:r>
    </w:p>
    <w:p>
      <w:r>
        <w:rPr>
          <w:b/>
        </w:rPr>
        <w:t xml:space="preserve">support — </w:t>
      </w:r>
      <w:r>
        <w:t>Help used while completing a task</w:t>
      </w:r>
    </w:p>
    <w:sectPr w:rsidR="00FC693F" w:rsidRPr="0006063C" w:rsidSect="00034616">
      <w:pgSz w:w="11906" w:h="16838"/>
      <w:pgMar w:top="907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Arial" w:hAnsi="Arial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/>
      <w:outlineLvl w:val="0"/>
    </w:pPr>
    <w:rPr>
      <w:rFonts w:asciiTheme="majorHAnsi" w:eastAsiaTheme="majorEastAsia" w:hAnsiTheme="majorHAnsi" w:cstheme="majorBidi" w:ascii="Arial" w:hAnsi="Arial"/>
      <w:b/>
      <w:bCs/>
      <w:color w:val="000000"/>
      <w:sz w:val="32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/>
      <w:outlineLvl w:val="1"/>
    </w:pPr>
    <w:rPr>
      <w:rFonts w:asciiTheme="majorHAnsi" w:eastAsiaTheme="majorEastAsia" w:hAnsiTheme="majorHAnsi" w:cstheme="majorBidi" w:ascii="Arial" w:hAnsi="Arial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40" w:lineRule="auto"/>
      <w:contextualSpacing/>
    </w:pPr>
    <w:rPr>
      <w:rFonts w:asciiTheme="majorHAnsi" w:eastAsiaTheme="majorEastAsia" w:hAnsiTheme="majorHAnsi" w:cstheme="majorBidi" w:ascii="Arial" w:hAnsi="Arial"/>
      <w:color w:val="000000"/>
      <w:spacing w:val="5"/>
      <w:kern w:val="28"/>
      <w:sz w:val="44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/>
    </w:pPr>
    <w:rPr>
      <w:rFonts w:asciiTheme="majorHAnsi" w:eastAsiaTheme="majorEastAsia" w:hAnsiTheme="majorHAnsi" w:cstheme="majorBidi" w:ascii="Arial" w:hAnsi="Arial"/>
      <w:i/>
      <w:iCs/>
      <w:color w:val="000000"/>
      <w:spacing w:val="15"/>
      <w:sz w:val="22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