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Our class map | BUILD_SU1_W06 | STAFF ONLY</w:t>
      </w:r>
    </w:p>
    <w:p>
      <w:pPr>
        <w:pStyle w:val="Heading1"/>
      </w:pPr>
      <w:r>
        <w:t>Scheme of work alignment</w:t>
      </w:r>
    </w:p>
    <w:p>
      <w:r>
        <w:t>Outcome: Record local features on a class map.</w:t>
      </w:r>
    </w:p>
    <w:p>
      <w:r>
        <w:t>Teaching and application: Return to fieldwork photos and observations; model one map entry. Each learner adds accurate symbols or labels and explains a feature. Review map, comparison and world-location evidence from the unit.</w:t>
      </w:r>
    </w:p>
    <w:p>
      <w:r>
        <w:t>Assessment: S: class map contribution plus individual evidence against unit criteria.</w:t>
      </w:r>
    </w:p>
    <w:p>
      <w:r>
        <w:t>Metadata: absolute_week 32; sow_page 32; assessment_mode true. Source document: Humanities Scheme of Work 2026–27(1).docx, physical page 12, BUILD Summer 1. No approved UAS unit code is supplied.</w:t>
      </w:r>
    </w:p>
    <w:p>
      <w:pPr>
        <w:pStyle w:val="Heading1"/>
      </w:pPr>
      <w:r>
        <w:t>Preparation</w:t>
      </w:r>
    </w:p>
    <w:p>
      <w:r>
        <w:t>Reuse the class’s own checked plan from earlier local work. Before teaching, confirm its orientation, key and permitted area. Bring checked Week 4 observations and each learner’s earlier map, comparison and world-location work. Use existing photos of places only if suitable; no photographs of people or home addresses. If Week 4 used invented practice data, do not transfer those counts or locations to the real class map. Verify a real feature with an adult observation or checked school plan first. The supplied demonstration plan is practice only.</w:t>
      </w:r>
    </w:p>
    <w:p>
      <w:pPr>
        <w:pStyle w:val="Heading1"/>
      </w:pPr>
      <w:r>
        <w:t>Access and feedback</w:t>
      </w:r>
    </w:p>
    <w:p>
      <w:r>
        <w:t>Give one instruction at a time. Offer pointing, speech, drawing, typing or writing. Use a reduced choice set if needed. Keep communication support and fade content prompts before the individual check.</w:t>
      </w:r>
    </w:p>
    <w:p>
      <w:r>
        <w:t>Offer a private rehearsal, a small paper contribution to place on the shared map and a choice of response mode. No personal disclosure is needed.</w:t>
      </w:r>
    </w:p>
    <w:p>
      <w:r>
        <w:t>Print only the chosen arrival and independent routes. Keep staff answers separate. Use a private response, read aloud, point, speak, draw or write. Record content prompting separately from access support.</w:t>
      </w:r>
    </w:p>
    <w:p>
      <w:r>
        <w:br w:type="page"/>
      </w:r>
    </w:p>
    <w:p>
      <w:pPr>
        <w:pStyle w:val="Title"/>
      </w:pPr>
      <w:r>
        <w:t>Teaching sequence</w:t>
      </w:r>
    </w:p>
    <w:p>
      <w:pPr>
        <w:pStyle w:val="Subtitle"/>
      </w:pPr>
      <w:r>
        <w:t>Nine stages | 40 minutes, with flexible pauses</w:t>
      </w:r>
    </w:p>
    <w:tbl>
      <w:tblPr>
        <w:tblW w:type="auto" w:w="0"/>
        <w:tblLayout w:type="fixed"/>
        <w:tblLook w:firstColumn="1" w:firstRow="1" w:lastColumn="0" w:lastRow="0" w:noHBand="0" w:noVBand="1" w:val="04A0"/>
      </w:tblPr>
      <w:tblGrid>
        <w:gridCol w:w="1984"/>
        <w:gridCol w:w="850"/>
        <w:gridCol w:w="6803"/>
      </w:tblGrid>
      <w:tr>
        <w:tc>
          <w:tcPr>
            <w:tcW w:type="dxa" w:w="1984"/>
            <w:tcBorders>
              <w:top w:val="single" w:sz="6" w:color="D9D9D9"/>
              <w:left w:val="single" w:sz="6" w:color="D9D9D9"/>
              <w:bottom w:val="single" w:sz="6" w:color="D9D9D9"/>
              <w:right w:val="single" w:sz="6" w:color="D9D9D9"/>
            </w:tcBorders>
            <w:shd w:fill="E4EDF2"/>
          </w:tcPr>
          <w:p>
            <w:pPr>
              <w:spacing w:after="120" w:before="120"/>
            </w:pPr>
            <w:r>
              <w:rPr>
                <w:b/>
              </w:rPr>
              <w:t>Stage</w:t>
            </w:r>
          </w:p>
        </w:tc>
        <w:tc>
          <w:tcPr>
            <w:tcW w:type="dxa" w:w="850"/>
            <w:tcBorders>
              <w:top w:val="single" w:sz="6" w:color="D9D9D9"/>
              <w:left w:val="single" w:sz="6" w:color="D9D9D9"/>
              <w:bottom w:val="single" w:sz="6" w:color="D9D9D9"/>
              <w:right w:val="single" w:sz="6" w:color="D9D9D9"/>
            </w:tcBorders>
            <w:shd w:fill="E4EDF2"/>
          </w:tcPr>
          <w:p>
            <w:r>
              <w:t>Min</w:t>
            </w:r>
          </w:p>
        </w:tc>
        <w:tc>
          <w:tcPr>
            <w:tcW w:type="dxa" w:w="6803"/>
            <w:tcBorders>
              <w:top w:val="single" w:sz="6" w:color="D9D9D9"/>
              <w:left w:val="single" w:sz="6" w:color="D9D9D9"/>
              <w:bottom w:val="single" w:sz="6" w:color="D9D9D9"/>
              <w:right w:val="single" w:sz="6" w:color="D9D9D9"/>
            </w:tcBorders>
            <w:shd w:fill="E4EDF2"/>
          </w:tcPr>
          <w:p>
            <w:pPr>
              <w:spacing w:after="120" w:before="120"/>
            </w:pPr>
            <w:r>
              <w:rPr>
                <w:b/>
              </w:rPr>
              <w:t>Teaching and next attempt</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Opening</w:t>
            </w:r>
          </w:p>
        </w:tc>
        <w:tc>
          <w:tcPr>
            <w:tcW w:type="dxa" w:w="850"/>
            <w:tcBorders>
              <w:top w:val="single" w:sz="6" w:color="D9D9D9"/>
              <w:left w:val="single" w:sz="6" w:color="D9D9D9"/>
              <w:bottom w:val="single" w:sz="6" w:color="D9D9D9"/>
              <w:right w:val="single" w:sz="6" w:color="D9D9D9"/>
            </w:tcBorders>
            <w:shd w:fill="FFFFFF"/>
          </w:tcPr>
          <w:p>
            <w:pPr>
              <w:spacing w:after="120" w:before="120"/>
            </w:pPr>
            <w:r>
              <w:t>0</w:t>
            </w:r>
          </w:p>
        </w:tc>
        <w:tc>
          <w:tcPr>
            <w:tcW w:type="dxa" w:w="6803"/>
            <w:tcBorders>
              <w:top w:val="single" w:sz="6" w:color="D9D9D9"/>
              <w:left w:val="single" w:sz="6" w:color="D9D9D9"/>
              <w:bottom w:val="single" w:sz="6" w:color="D9D9D9"/>
              <w:right w:val="single" w:sz="6" w:color="D9D9D9"/>
            </w:tcBorders>
            <w:shd w:fill="FFFFFF"/>
          </w:tcPr>
          <w:p>
            <w:pPr>
              <w:spacing w:after="120" w:before="120"/>
            </w:pPr>
            <w:r>
              <w:t>Record local features on a class map.</w:t>
            </w:r>
          </w:p>
        </w:tc>
      </w:tr>
      <w:tr>
        <w:tc>
          <w:tcPr>
            <w:tcW w:type="dxa" w:w="1984"/>
            <w:tcBorders>
              <w:top w:val="single" w:sz="6" w:color="D9D9D9"/>
              <w:left w:val="single" w:sz="6" w:color="D9D9D9"/>
              <w:bottom w:val="single" w:sz="6" w:color="D9D9D9"/>
              <w:right w:val="single" w:sz="6" w:color="D9D9D9"/>
            </w:tcBorders>
            <w:shd w:fill="F4F7F9"/>
          </w:tcPr>
          <w:p>
            <w:pPr>
              <w:spacing w:after="120" w:before="120"/>
            </w:pPr>
            <w:r>
              <w:t>Arrival</w:t>
            </w:r>
          </w:p>
        </w:tc>
        <w:tc>
          <w:tcPr>
            <w:tcW w:type="dxa" w:w="850"/>
            <w:tcBorders>
              <w:top w:val="single" w:sz="6" w:color="D9D9D9"/>
              <w:left w:val="single" w:sz="6" w:color="D9D9D9"/>
              <w:bottom w:val="single" w:sz="6" w:color="D9D9D9"/>
              <w:right w:val="single" w:sz="6" w:color="D9D9D9"/>
            </w:tcBorders>
            <w:shd w:fill="F4F7F9"/>
          </w:tcPr>
          <w:p>
            <w:pPr>
              <w:spacing w:after="120" w:before="120"/>
            </w:pPr>
            <w:r>
              <w:t>4</w:t>
            </w:r>
          </w:p>
        </w:tc>
        <w:tc>
          <w:tcPr>
            <w:tcW w:type="dxa" w:w="6803"/>
            <w:tcBorders>
              <w:top w:val="single" w:sz="6" w:color="D9D9D9"/>
              <w:left w:val="single" w:sz="6" w:color="D9D9D9"/>
              <w:bottom w:val="single" w:sz="6" w:color="D9D9D9"/>
              <w:right w:val="single" w:sz="6" w:color="D9D9D9"/>
            </w:tcBorders>
            <w:shd w:fill="F4F7F9"/>
          </w:tcPr>
          <w:p>
            <w:pPr>
              <w:spacing w:after="120" w:before="120"/>
            </w:pPr>
            <w:r>
              <w:t>Offer two choices, model one example and recheck with a new one.</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Starter</w:t>
            </w:r>
          </w:p>
        </w:tc>
        <w:tc>
          <w:tcPr>
            <w:tcW w:type="dxa" w:w="850"/>
            <w:tcBorders>
              <w:top w:val="single" w:sz="6" w:color="D9D9D9"/>
              <w:left w:val="single" w:sz="6" w:color="D9D9D9"/>
              <w:bottom w:val="single" w:sz="6" w:color="D9D9D9"/>
              <w:right w:val="single" w:sz="6" w:color="D9D9D9"/>
            </w:tcBorders>
            <w:shd w:fill="FFFFFF"/>
          </w:tcPr>
          <w:p>
            <w:pPr>
              <w:spacing w:after="120" w:before="120"/>
            </w:pPr>
            <w:r>
              <w:t>3</w:t>
            </w:r>
          </w:p>
        </w:tc>
        <w:tc>
          <w:tcPr>
            <w:tcW w:type="dxa" w:w="6803"/>
            <w:tcBorders>
              <w:top w:val="single" w:sz="6" w:color="D9D9D9"/>
              <w:left w:val="single" w:sz="6" w:color="D9D9D9"/>
              <w:bottom w:val="single" w:sz="6" w:color="D9D9D9"/>
              <w:right w:val="single" w:sz="6" w:color="D9D9D9"/>
            </w:tcBorders>
            <w:shd w:fill="FFFFFF"/>
          </w:tcPr>
          <w:p>
            <w:pPr>
              <w:spacing w:after="120" w:before="120"/>
            </w:pPr>
            <w:r>
              <w:t>Ask for one observation or label, then hear the revised response.</w:t>
            </w:r>
          </w:p>
        </w:tc>
      </w:tr>
      <w:tr>
        <w:tc>
          <w:tcPr>
            <w:tcW w:type="dxa" w:w="1984"/>
            <w:tcBorders>
              <w:top w:val="single" w:sz="6" w:color="D9D9D9"/>
              <w:left w:val="single" w:sz="6" w:color="D9D9D9"/>
              <w:bottom w:val="single" w:sz="6" w:color="D9D9D9"/>
              <w:right w:val="single" w:sz="6" w:color="D9D9D9"/>
            </w:tcBorders>
            <w:shd w:fill="F4F7F9"/>
          </w:tcPr>
          <w:p>
            <w:pPr>
              <w:spacing w:after="120" w:before="120"/>
            </w:pPr>
            <w:r>
              <w:t>I do</w:t>
            </w:r>
          </w:p>
        </w:tc>
        <w:tc>
          <w:tcPr>
            <w:tcW w:type="dxa" w:w="850"/>
            <w:tcBorders>
              <w:top w:val="single" w:sz="6" w:color="D9D9D9"/>
              <w:left w:val="single" w:sz="6" w:color="D9D9D9"/>
              <w:bottom w:val="single" w:sz="6" w:color="D9D9D9"/>
              <w:right w:val="single" w:sz="6" w:color="D9D9D9"/>
            </w:tcBorders>
            <w:shd w:fill="F4F7F9"/>
          </w:tcPr>
          <w:p>
            <w:pPr>
              <w:spacing w:after="120" w:before="120"/>
            </w:pPr>
            <w:r>
              <w:t>6</w:t>
            </w:r>
          </w:p>
        </w:tc>
        <w:tc>
          <w:tcPr>
            <w:tcW w:type="dxa" w:w="6803"/>
            <w:tcBorders>
              <w:top w:val="single" w:sz="6" w:color="D9D9D9"/>
              <w:left w:val="single" w:sz="6" w:color="D9D9D9"/>
              <w:bottom w:val="single" w:sz="6" w:color="D9D9D9"/>
              <w:right w:val="single" w:sz="6" w:color="D9D9D9"/>
            </w:tcBorders>
            <w:shd w:fill="F4F7F9"/>
          </w:tcPr>
          <w:p>
            <w:pPr>
              <w:spacing w:after="120" w:before="120"/>
            </w:pPr>
            <w:r>
              <w:t>Pause after each model step and invite a check.</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We do</w:t>
            </w:r>
          </w:p>
        </w:tc>
        <w:tc>
          <w:tcPr>
            <w:tcW w:type="dxa" w:w="850"/>
            <w:tcBorders>
              <w:top w:val="single" w:sz="6" w:color="D9D9D9"/>
              <w:left w:val="single" w:sz="6" w:color="D9D9D9"/>
              <w:bottom w:val="single" w:sz="6" w:color="D9D9D9"/>
              <w:right w:val="single" w:sz="6" w:color="D9D9D9"/>
            </w:tcBorders>
            <w:shd w:fill="FFFFFF"/>
          </w:tcPr>
          <w:p>
            <w:pPr>
              <w:spacing w:after="120" w:before="120"/>
            </w:pPr>
            <w:r>
              <w:t>7</w:t>
            </w:r>
          </w:p>
        </w:tc>
        <w:tc>
          <w:tcPr>
            <w:tcW w:type="dxa" w:w="6803"/>
            <w:tcBorders>
              <w:top w:val="single" w:sz="6" w:color="D9D9D9"/>
              <w:left w:val="single" w:sz="6" w:color="D9D9D9"/>
              <w:bottom w:val="single" w:sz="6" w:color="D9D9D9"/>
              <w:right w:val="single" w:sz="6" w:color="D9D9D9"/>
            </w:tcBorders>
            <w:shd w:fill="FFFFFF"/>
          </w:tcPr>
          <w:p>
            <w:pPr>
              <w:spacing w:after="120" w:before="120"/>
            </w:pPr>
            <w:r>
              <w:t>Use the paired routine, swap roles and hear each learner’s reason.</w:t>
            </w:r>
          </w:p>
        </w:tc>
      </w:tr>
      <w:tr>
        <w:tc>
          <w:tcPr>
            <w:tcW w:type="dxa" w:w="1984"/>
            <w:tcBorders>
              <w:top w:val="single" w:sz="6" w:color="D9D9D9"/>
              <w:left w:val="single" w:sz="6" w:color="D9D9D9"/>
              <w:bottom w:val="single" w:sz="6" w:color="D9D9D9"/>
              <w:right w:val="single" w:sz="6" w:color="D9D9D9"/>
            </w:tcBorders>
            <w:shd w:fill="F4F7F9"/>
          </w:tcPr>
          <w:p>
            <w:pPr>
              <w:spacing w:after="120" w:before="120"/>
            </w:pPr>
            <w:r>
              <w:t>Check</w:t>
            </w:r>
          </w:p>
        </w:tc>
        <w:tc>
          <w:tcPr>
            <w:tcW w:type="dxa" w:w="850"/>
            <w:tcBorders>
              <w:top w:val="single" w:sz="6" w:color="D9D9D9"/>
              <w:left w:val="single" w:sz="6" w:color="D9D9D9"/>
              <w:bottom w:val="single" w:sz="6" w:color="D9D9D9"/>
              <w:right w:val="single" w:sz="6" w:color="D9D9D9"/>
            </w:tcBorders>
            <w:shd w:fill="F4F7F9"/>
          </w:tcPr>
          <w:p>
            <w:pPr>
              <w:spacing w:after="120" w:before="120"/>
            </w:pPr>
            <w:r>
              <w:t>2</w:t>
            </w:r>
          </w:p>
        </w:tc>
        <w:tc>
          <w:tcPr>
            <w:tcW w:type="dxa" w:w="6803"/>
            <w:tcBorders>
              <w:top w:val="single" w:sz="6" w:color="D9D9D9"/>
              <w:left w:val="single" w:sz="6" w:color="D9D9D9"/>
              <w:bottom w:val="single" w:sz="6" w:color="D9D9D9"/>
              <w:right w:val="single" w:sz="6" w:color="D9D9D9"/>
            </w:tcBorders>
            <w:shd w:fill="F4F7F9"/>
          </w:tcPr>
          <w:p>
            <w:pPr>
              <w:spacing w:after="120" w:before="120"/>
            </w:pPr>
            <w:r>
              <w:t>Ask the learner to repair the misconception and explain the change.</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Independent</w:t>
            </w:r>
          </w:p>
        </w:tc>
        <w:tc>
          <w:tcPr>
            <w:tcW w:type="dxa" w:w="850"/>
            <w:tcBorders>
              <w:top w:val="single" w:sz="6" w:color="D9D9D9"/>
              <w:left w:val="single" w:sz="6" w:color="D9D9D9"/>
              <w:bottom w:val="single" w:sz="6" w:color="D9D9D9"/>
              <w:right w:val="single" w:sz="6" w:color="D9D9D9"/>
            </w:tcBorders>
            <w:shd w:fill="FFFFFF"/>
          </w:tcPr>
          <w:p>
            <w:pPr>
              <w:spacing w:after="120" w:before="120"/>
            </w:pPr>
            <w:r>
              <w:t>12</w:t>
            </w:r>
          </w:p>
        </w:tc>
        <w:tc>
          <w:tcPr>
            <w:tcW w:type="dxa" w:w="6803"/>
            <w:tcBorders>
              <w:top w:val="single" w:sz="6" w:color="D9D9D9"/>
              <w:left w:val="single" w:sz="6" w:color="D9D9D9"/>
              <w:bottom w:val="single" w:sz="6" w:color="D9D9D9"/>
              <w:right w:val="single" w:sz="6" w:color="D9D9D9"/>
            </w:tcBorders>
            <w:shd w:fill="FFFFFF"/>
          </w:tcPr>
          <w:p>
            <w:pPr>
              <w:spacing w:after="120" w:before="120"/>
            </w:pPr>
            <w:r>
              <w:t>Keep access support while fading content prompts. Record each learner’s own response.</w:t>
            </w:r>
          </w:p>
        </w:tc>
      </w:tr>
      <w:tr>
        <w:tc>
          <w:tcPr>
            <w:tcW w:type="dxa" w:w="1984"/>
            <w:tcBorders>
              <w:top w:val="single" w:sz="6" w:color="D9D9D9"/>
              <w:left w:val="single" w:sz="6" w:color="D9D9D9"/>
              <w:bottom w:val="single" w:sz="6" w:color="D9D9D9"/>
              <w:right w:val="single" w:sz="6" w:color="D9D9D9"/>
            </w:tcBorders>
            <w:shd w:fill="F4F7F9"/>
          </w:tcPr>
          <w:p>
            <w:pPr>
              <w:spacing w:after="120" w:before="120"/>
            </w:pPr>
            <w:r>
              <w:t>Review</w:t>
            </w:r>
          </w:p>
        </w:tc>
        <w:tc>
          <w:tcPr>
            <w:tcW w:type="dxa" w:w="850"/>
            <w:tcBorders>
              <w:top w:val="single" w:sz="6" w:color="D9D9D9"/>
              <w:left w:val="single" w:sz="6" w:color="D9D9D9"/>
              <w:bottom w:val="single" w:sz="6" w:color="D9D9D9"/>
              <w:right w:val="single" w:sz="6" w:color="D9D9D9"/>
            </w:tcBorders>
            <w:shd w:fill="F4F7F9"/>
          </w:tcPr>
          <w:p>
            <w:pPr>
              <w:spacing w:after="120" w:before="120"/>
            </w:pPr>
            <w:r>
              <w:t>3</w:t>
            </w:r>
          </w:p>
        </w:tc>
        <w:tc>
          <w:tcPr>
            <w:tcW w:type="dxa" w:w="6803"/>
            <w:tcBorders>
              <w:top w:val="single" w:sz="6" w:color="D9D9D9"/>
              <w:left w:val="single" w:sz="6" w:color="D9D9D9"/>
              <w:bottom w:val="single" w:sz="6" w:color="D9D9D9"/>
              <w:right w:val="single" w:sz="6" w:color="D9D9D9"/>
            </w:tcBorders>
            <w:shd w:fill="F4F7F9"/>
          </w:tcPr>
          <w:p>
            <w:pPr>
              <w:spacing w:after="120" w:before="120"/>
            </w:pPr>
            <w:r>
              <w:t>Give one precise next step and time for the learner to act on it.</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Exit</w:t>
            </w:r>
          </w:p>
        </w:tc>
        <w:tc>
          <w:tcPr>
            <w:tcW w:type="dxa" w:w="850"/>
            <w:tcBorders>
              <w:top w:val="single" w:sz="6" w:color="D9D9D9"/>
              <w:left w:val="single" w:sz="6" w:color="D9D9D9"/>
              <w:bottom w:val="single" w:sz="6" w:color="D9D9D9"/>
              <w:right w:val="single" w:sz="6" w:color="D9D9D9"/>
            </w:tcBorders>
            <w:shd w:fill="FFFFFF"/>
          </w:tcPr>
          <w:p>
            <w:pPr>
              <w:spacing w:after="120" w:before="120"/>
            </w:pPr>
            <w:r>
              <w:t>3</w:t>
            </w:r>
          </w:p>
        </w:tc>
        <w:tc>
          <w:tcPr>
            <w:tcW w:type="dxa" w:w="6803"/>
            <w:tcBorders>
              <w:top w:val="single" w:sz="6" w:color="D9D9D9"/>
              <w:left w:val="single" w:sz="6" w:color="D9D9D9"/>
              <w:bottom w:val="single" w:sz="6" w:color="D9D9D9"/>
              <w:right w:val="single" w:sz="6" w:color="D9D9D9"/>
            </w:tcBorders>
            <w:shd w:fill="FFFFFF"/>
          </w:tcPr>
          <w:p>
            <w:pPr>
              <w:spacing w:after="120" w:before="120"/>
            </w:pPr>
            <w:r>
              <w:t>Use the individual response to choose a revisit, consolidation or extension.</w:t>
            </w:r>
          </w:p>
        </w:tc>
      </w:tr>
    </w:tbl>
    <w:p>
      <w:r>
        <w:br w:type="page"/>
      </w:r>
    </w:p>
    <w:p>
      <w:pPr>
        <w:pStyle w:val="Title"/>
      </w:pPr>
      <w:r>
        <w:t>Worked model and preparation</w:t>
      </w:r>
    </w:p>
    <w:p>
      <w:pPr>
        <w:pStyle w:val="Subtitle"/>
      </w:pPr>
      <w:r>
        <w:t>Read before teaching</w:t>
      </w:r>
    </w:p>
    <w:p>
      <w:r>
        <w:t>Question: Where should I add the bench on this practice plan?</w:t>
      </w:r>
    </w:p>
    <w:p>
      <w:r>
        <w:t>Evidence: Practice note A says the bench is beside the tree, on its right. The plan shows the tree and path.</w:t>
      </w:r>
    </w:p>
    <w:p>
      <w:r>
        <w:t>Explain: I add the bench symbol at the checked position and put its meaning in the key.</w:t>
      </w:r>
    </w:p>
    <w:p>
      <w:r>
        <w:t>Check: I compare the entry with note A. On our real class map, I must use our own checked evidence.</w:t>
      </w:r>
    </w:p>
    <w:p>
      <w:pPr>
        <w:pStyle w:val="Heading1"/>
      </w:pPr>
      <w:r>
        <w:t>Practical setup</w:t>
      </w:r>
    </w:p>
    <w:p>
      <w:r>
        <w:t>Bring the class’s own checked plan from Weeks 1–2 and real observations from Week 4. Verify its orientation, agreed key, source and date. If Week 4 used practice data, an adult must check real local features before this lesson; never put invented practice counts on the class map. If suitable evidence is not ready, use the model for practice and schedule the summative contribution once it is checked.</w:t>
      </w:r>
    </w:p>
    <w:p>
      <w:r>
        <w:t>The SoW mentions fieldwork photos and observations. Observations alone are enough for this paper route. Use any existing photos only if they show suitable places, contain no people and comply with school practice. Do not collect home addresses.</w:t>
      </w:r>
    </w:p>
    <w:p>
      <w:r>
        <w:t>Have each pupil’s earlier map, comparison, observation and world-location work ready. Use the Week 5 map to elicit a fresh world-location response if necessary. The shared map alone does not prove individual attainment.</w:t>
      </w:r>
    </w:p>
    <w:p>
      <w:r>
        <w:br w:type="page"/>
      </w:r>
    </w:p>
    <w:p>
      <w:pPr>
        <w:pStyle w:val="Title"/>
      </w:pPr>
      <w:r>
        <w:t>Answers and checks</w:t>
      </w:r>
    </w:p>
    <w:p>
      <w:pPr>
        <w:pStyle w:val="Subtitle"/>
      </w:pPr>
      <w:r>
        <w:t>Staff only</w:t>
      </w:r>
    </w:p>
    <w:p>
      <w:pPr>
        <w:pStyle w:val="Heading2"/>
      </w:pPr>
      <w:r>
        <w:t>Arrival Supported</w:t>
      </w:r>
    </w:p>
    <w:p>
      <w:r>
        <w:t>1. The tree symbol marked T.</w:t>
      </w:r>
    </w:p>
    <w:p>
      <w:r>
        <w:t>2. Bench.</w:t>
      </w:r>
    </w:p>
    <w:p>
      <w:r>
        <w:t>3. A checked observation.</w:t>
      </w:r>
    </w:p>
    <w:p>
      <w:r>
        <w:t>4. The key is below the sample plan.</w:t>
      </w:r>
    </w:p>
    <w:p>
      <w:pPr>
        <w:pStyle w:val="Heading2"/>
      </w:pPr>
      <w:r>
        <w:t>Arrival Standard</w:t>
      </w:r>
    </w:p>
    <w:p>
      <w:r>
        <w:t>1. It explains the map’s symbols.</w:t>
      </w:r>
    </w:p>
    <w:p>
      <w:r>
        <w:t>2. On the right of the tree.</w:t>
      </w:r>
    </w:p>
    <w:p>
      <w:r>
        <w:t>3. To avoid placing a wrong feature or putting it in the wrong position.</w:t>
      </w:r>
    </w:p>
    <w:p>
      <w:r>
        <w:t>4. No. They are not needed.</w:t>
      </w:r>
    </w:p>
    <w:p>
      <w:pPr>
        <w:pStyle w:val="Heading2"/>
      </w:pPr>
      <w:r>
        <w:t>Arrival Stretch</w:t>
      </w:r>
    </w:p>
    <w:p>
      <w:r>
        <w:t>1. A feature might move, be removed or be added.</w:t>
      </w:r>
    </w:p>
    <w:p>
      <w:r>
        <w:t>2. Compare with a current checked source.</w:t>
      </w:r>
    </w:p>
    <w:p>
      <w:r>
        <w:t>3. No. Keep each learner’s own record and explanation.</w:t>
      </w:r>
    </w:p>
    <w:p>
      <w:r>
        <w:t>4. So invented examples are not treated as real local evidence.</w:t>
      </w:r>
    </w:p>
    <w:p>
      <w:pPr>
        <w:pStyle w:val="Heading1"/>
      </w:pPr>
      <w:r>
        <w:t>Shared activity</w:t>
      </w:r>
    </w:p>
    <w:p>
      <w:r>
        <w:t>1. Add to map. The feature and position are verified. Add a clear symbol and key entry.</w:t>
      </w:r>
    </w:p>
    <w:p>
      <w:r>
        <w:t>2. Check first. The position is uncertain. Confirm it with the checked plan or an adult observation.</w:t>
      </w:r>
    </w:p>
    <w:p>
      <w:r>
        <w:t>3. Leave out. A home address is not needed for this school/local-features map.</w:t>
      </w:r>
    </w:p>
    <w:p>
      <w:r>
        <w:t>4. Leave out. Invented practice data is not evidence for our real local map.</w:t>
      </w:r>
    </w:p>
    <w:p>
      <w:r>
        <w:t>5. Check first. Check its current position before adding it.</w:t>
      </w:r>
    </w:p>
    <w:p>
      <w:pPr>
        <w:pStyle w:val="Heading1"/>
      </w:pPr>
      <w:r>
        <w:t>Check the method</w:t>
      </w:r>
    </w:p>
    <w:p>
      <w:r>
        <w:t>No. The tally was invented practice data. Use the class’s checked plan and real observations to verify tree positions before adding them.</w:t>
      </w:r>
    </w:p>
    <w:p>
      <w:r>
        <w:br w:type="page"/>
      </w:r>
    </w:p>
    <w:p>
      <w:pPr>
        <w:pStyle w:val="Title"/>
      </w:pPr>
      <w:r>
        <w:t>Assessment and feedback</w:t>
      </w:r>
    </w:p>
    <w:p>
      <w:pPr>
        <w:pStyle w:val="Subtitle"/>
      </w:pPr>
      <w:r>
        <w:t>Individual evidence and next steps</w:t>
      </w:r>
    </w:p>
    <w:p>
      <w:r>
        <w:t>Summative: retain the class map contribution and the learner’s own explanation/support record. Review map skills, simple symbols, a comparison, an observation and a continent/ocean response against unit criteria. Use earlier work where valid; do not infer individual attainment from the shared product. If evidence is missing, record not yet evidenced and plan a short follow-up.</w:t>
      </w:r>
    </w:p>
    <w:p>
      <w:r>
        <w:t>Actual map answers depend on the class’s checked plan and observations. Require a feature consistent with its source, an accurate position, an interpretable symbol/key, and the learner’s explanation. Accept spoken, pointed, drawn or written evidence. Practice-only work must be labelled and cannot stand in for a verified local-map contribution.</w:t>
      </w:r>
    </w:p>
    <w:p>
      <w:r>
        <w:t>Feedback cycle: name the successful step, identify one precise improvement, hear the learner’s response about support, then provide a fresh attempt. Use school feedback codes under current policy.</w:t>
      </w:r>
    </w:p>
    <w:p>
      <w:pPr>
        <w:pStyle w:val="Heading1"/>
      </w:pPr>
      <w:r>
        <w:t>Summative evidence record</w:t>
      </w:r>
    </w:p>
    <w:p>
      <w:r>
        <w:t>Complete one record per learner using the school’s usual identifier. For each criterion, write what the pupil actually did, source/date and support. Use evidenced / not yet evidenced; no invented scores. A content prompt is not an independent response.</w:t>
      </w:r>
    </w:p>
    <w:tbl>
      <w:tblPr>
        <w:tblW w:type="auto" w:w="0"/>
        <w:tblLayout w:type="fixed"/>
        <w:tblLook w:firstColumn="1" w:firstRow="1" w:lastColumn="0" w:lastRow="0" w:noHBand="0" w:noVBand="1" w:val="04A0"/>
      </w:tblPr>
      <w:tblGrid>
        <w:gridCol w:w="2665"/>
        <w:gridCol w:w="4535"/>
        <w:gridCol w:w="2438"/>
      </w:tblGrid>
      <w:tr>
        <w:tc>
          <w:tcPr>
            <w:tcW w:type="dxa" w:w="2665"/>
            <w:tcBorders>
              <w:top w:val="single" w:sz="6" w:color="D9D9D9"/>
              <w:left w:val="single" w:sz="6" w:color="D9D9D9"/>
              <w:bottom w:val="single" w:sz="6" w:color="D9D9D9"/>
              <w:right w:val="single" w:sz="6" w:color="D9D9D9"/>
            </w:tcBorders>
            <w:shd w:fill="E4EDF2"/>
          </w:tcPr>
          <w:p>
            <w:pPr>
              <w:spacing w:after="120" w:before="120"/>
            </w:pPr>
            <w:r>
              <w:rPr>
                <w:b/>
              </w:rPr>
              <w:t>Unit criterion</w:t>
            </w:r>
          </w:p>
        </w:tc>
        <w:tc>
          <w:tcPr>
            <w:tcW w:type="dxa" w:w="4535"/>
            <w:tcBorders>
              <w:top w:val="single" w:sz="6" w:color="D9D9D9"/>
              <w:left w:val="single" w:sz="6" w:color="D9D9D9"/>
              <w:bottom w:val="single" w:sz="6" w:color="D9D9D9"/>
              <w:right w:val="single" w:sz="6" w:color="D9D9D9"/>
            </w:tcBorders>
            <w:shd w:fill="E4EDF2"/>
          </w:tcPr>
          <w:p>
            <w:pPr>
              <w:spacing w:after="120" w:before="120"/>
            </w:pPr>
            <w:r>
              <w:rPr>
                <w:b/>
              </w:rPr>
              <w:t>Response, source/date, support</w:t>
            </w:r>
          </w:p>
        </w:tc>
        <w:tc>
          <w:tcPr>
            <w:tcW w:type="dxa" w:w="2438"/>
            <w:tcBorders>
              <w:top w:val="single" w:sz="6" w:color="D9D9D9"/>
              <w:left w:val="single" w:sz="6" w:color="D9D9D9"/>
              <w:bottom w:val="single" w:sz="6" w:color="D9D9D9"/>
              <w:right w:val="single" w:sz="6" w:color="D9D9D9"/>
            </w:tcBorders>
            <w:shd w:fill="E4EDF2"/>
          </w:tcPr>
          <w:p>
            <w:pPr>
              <w:spacing w:after="120" w:before="120"/>
            </w:pPr>
            <w:r>
              <w:rPr>
                <w:b/>
              </w:rPr>
              <w:t>Status / next step</w:t>
            </w:r>
          </w:p>
        </w:tc>
      </w:tr>
      <w:tr>
        <w:tc>
          <w:tcPr>
            <w:tcW w:type="dxa" w:w="2665"/>
            <w:tcBorders>
              <w:top w:val="single" w:sz="6" w:color="D9D9D9"/>
              <w:left w:val="single" w:sz="6" w:color="D9D9D9"/>
              <w:bottom w:val="single" w:sz="6" w:color="D9D9D9"/>
              <w:right w:val="single" w:sz="6" w:color="D9D9D9"/>
            </w:tcBorders>
            <w:shd w:fill="FFFFFF"/>
          </w:tcPr>
          <w:p>
            <w:pPr>
              <w:spacing w:after="120" w:before="120"/>
            </w:pPr>
            <w:r>
              <w:t>Locate a familiar feature</w:t>
            </w:r>
          </w:p>
        </w:tc>
        <w:tc>
          <w:tcPr>
            <w:tcW w:type="dxa" w:w="4535"/>
            <w:tcBorders>
              <w:top w:val="single" w:sz="6" w:color="D9D9D9"/>
              <w:left w:val="single" w:sz="6" w:color="D9D9D9"/>
              <w:bottom w:val="single" w:sz="6" w:color="D9D9D9"/>
              <w:right w:val="single" w:sz="6" w:color="D9D9D9"/>
            </w:tcBorders>
            <w:shd w:fill="FFFFFF"/>
          </w:tcPr>
          <w:p>
            <w:pPr>
              <w:spacing w:after="120" w:before="120"/>
            </w:pPr>
            <w:r>
              <w:br/>
              <w:br/>
            </w:r>
          </w:p>
        </w:tc>
        <w:tc>
          <w:tcPr>
            <w:tcW w:type="dxa" w:w="2438"/>
            <w:tcBorders>
              <w:top w:val="single" w:sz="6" w:color="D9D9D9"/>
              <w:left w:val="single" w:sz="6" w:color="D9D9D9"/>
              <w:bottom w:val="single" w:sz="6" w:color="D9D9D9"/>
              <w:right w:val="single" w:sz="6" w:color="D9D9D9"/>
            </w:tcBorders>
            <w:shd w:fill="FFFFFF"/>
          </w:tcPr>
          <w:p>
            <w:pPr>
              <w:spacing w:after="120" w:before="120"/>
            </w:pPr>
            <w:r>
              <w:br/>
              <w:br/>
            </w:r>
          </w:p>
        </w:tc>
      </w:tr>
      <w:tr>
        <w:tc>
          <w:tcPr>
            <w:tcW w:type="dxa" w:w="2665"/>
            <w:tcBorders>
              <w:top w:val="single" w:sz="6" w:color="D9D9D9"/>
              <w:left w:val="single" w:sz="6" w:color="D9D9D9"/>
              <w:bottom w:val="single" w:sz="6" w:color="D9D9D9"/>
              <w:right w:val="single" w:sz="6" w:color="D9D9D9"/>
            </w:tcBorders>
            <w:shd w:fill="F4F7F9"/>
          </w:tcPr>
          <w:p>
            <w:pPr>
              <w:spacing w:after="120" w:before="120"/>
            </w:pPr>
            <w:r>
              <w:t>Use a simple symbol and key</w:t>
            </w:r>
          </w:p>
        </w:tc>
        <w:tc>
          <w:tcPr>
            <w:tcW w:type="dxa" w:w="4535"/>
            <w:tcBorders>
              <w:top w:val="single" w:sz="6" w:color="D9D9D9"/>
              <w:left w:val="single" w:sz="6" w:color="D9D9D9"/>
              <w:bottom w:val="single" w:sz="6" w:color="D9D9D9"/>
              <w:right w:val="single" w:sz="6" w:color="D9D9D9"/>
            </w:tcBorders>
            <w:shd w:fill="F4F7F9"/>
          </w:tcPr>
          <w:p>
            <w:pPr>
              <w:spacing w:after="120" w:before="120"/>
            </w:pPr>
            <w:r>
              <w:br/>
              <w:br/>
            </w:r>
          </w:p>
        </w:tc>
        <w:tc>
          <w:tcPr>
            <w:tcW w:type="dxa" w:w="2438"/>
            <w:tcBorders>
              <w:top w:val="single" w:sz="6" w:color="D9D9D9"/>
              <w:left w:val="single" w:sz="6" w:color="D9D9D9"/>
              <w:bottom w:val="single" w:sz="6" w:color="D9D9D9"/>
              <w:right w:val="single" w:sz="6" w:color="D9D9D9"/>
            </w:tcBorders>
            <w:shd w:fill="F4F7F9"/>
          </w:tcPr>
          <w:p>
            <w:pPr>
              <w:spacing w:after="120" w:before="120"/>
            </w:pPr>
            <w:r>
              <w:br/>
              <w:br/>
            </w:r>
          </w:p>
        </w:tc>
      </w:tr>
      <w:tr>
        <w:tc>
          <w:tcPr>
            <w:tcW w:type="dxa" w:w="2665"/>
            <w:tcBorders>
              <w:top w:val="single" w:sz="6" w:color="D9D9D9"/>
              <w:left w:val="single" w:sz="6" w:color="D9D9D9"/>
              <w:bottom w:val="single" w:sz="6" w:color="D9D9D9"/>
              <w:right w:val="single" w:sz="6" w:color="D9D9D9"/>
            </w:tcBorders>
            <w:shd w:fill="FFFFFF"/>
          </w:tcPr>
          <w:p>
            <w:pPr>
              <w:spacing w:after="120" w:before="120"/>
            </w:pPr>
            <w:r>
              <w:t>Compare two places</w:t>
            </w:r>
          </w:p>
        </w:tc>
        <w:tc>
          <w:tcPr>
            <w:tcW w:type="dxa" w:w="4535"/>
            <w:tcBorders>
              <w:top w:val="single" w:sz="6" w:color="D9D9D9"/>
              <w:left w:val="single" w:sz="6" w:color="D9D9D9"/>
              <w:bottom w:val="single" w:sz="6" w:color="D9D9D9"/>
              <w:right w:val="single" w:sz="6" w:color="D9D9D9"/>
            </w:tcBorders>
            <w:shd w:fill="FFFFFF"/>
          </w:tcPr>
          <w:p>
            <w:pPr>
              <w:spacing w:after="120" w:before="120"/>
            </w:pPr>
            <w:r>
              <w:br/>
              <w:br/>
            </w:r>
          </w:p>
        </w:tc>
        <w:tc>
          <w:tcPr>
            <w:tcW w:type="dxa" w:w="2438"/>
            <w:tcBorders>
              <w:top w:val="single" w:sz="6" w:color="D9D9D9"/>
              <w:left w:val="single" w:sz="6" w:color="D9D9D9"/>
              <w:bottom w:val="single" w:sz="6" w:color="D9D9D9"/>
              <w:right w:val="single" w:sz="6" w:color="D9D9D9"/>
            </w:tcBorders>
            <w:shd w:fill="FFFFFF"/>
          </w:tcPr>
          <w:p>
            <w:pPr>
              <w:spacing w:after="120" w:before="120"/>
            </w:pPr>
            <w:r>
              <w:br/>
              <w:br/>
            </w:r>
          </w:p>
        </w:tc>
      </w:tr>
      <w:tr>
        <w:tc>
          <w:tcPr>
            <w:tcW w:type="dxa" w:w="2665"/>
            <w:tcBorders>
              <w:top w:val="single" w:sz="6" w:color="D9D9D9"/>
              <w:left w:val="single" w:sz="6" w:color="D9D9D9"/>
              <w:bottom w:val="single" w:sz="6" w:color="D9D9D9"/>
              <w:right w:val="single" w:sz="6" w:color="D9D9D9"/>
            </w:tcBorders>
            <w:shd w:fill="F4F7F9"/>
          </w:tcPr>
          <w:p>
            <w:pPr>
              <w:spacing w:after="120" w:before="120"/>
            </w:pPr>
            <w:r>
              <w:t>Record an observation</w:t>
            </w:r>
          </w:p>
        </w:tc>
        <w:tc>
          <w:tcPr>
            <w:tcW w:type="dxa" w:w="4535"/>
            <w:tcBorders>
              <w:top w:val="single" w:sz="6" w:color="D9D9D9"/>
              <w:left w:val="single" w:sz="6" w:color="D9D9D9"/>
              <w:bottom w:val="single" w:sz="6" w:color="D9D9D9"/>
              <w:right w:val="single" w:sz="6" w:color="D9D9D9"/>
            </w:tcBorders>
            <w:shd w:fill="F4F7F9"/>
          </w:tcPr>
          <w:p>
            <w:pPr>
              <w:spacing w:after="120" w:before="120"/>
            </w:pPr>
            <w:r>
              <w:br/>
              <w:br/>
            </w:r>
          </w:p>
        </w:tc>
        <w:tc>
          <w:tcPr>
            <w:tcW w:type="dxa" w:w="2438"/>
            <w:tcBorders>
              <w:top w:val="single" w:sz="6" w:color="D9D9D9"/>
              <w:left w:val="single" w:sz="6" w:color="D9D9D9"/>
              <w:bottom w:val="single" w:sz="6" w:color="D9D9D9"/>
              <w:right w:val="single" w:sz="6" w:color="D9D9D9"/>
            </w:tcBorders>
            <w:shd w:fill="F4F7F9"/>
          </w:tcPr>
          <w:p>
            <w:pPr>
              <w:spacing w:after="120" w:before="120"/>
            </w:pPr>
            <w:r>
              <w:br/>
              <w:br/>
            </w:r>
          </w:p>
        </w:tc>
      </w:tr>
      <w:tr>
        <w:tc>
          <w:tcPr>
            <w:tcW w:type="dxa" w:w="2665"/>
            <w:tcBorders>
              <w:top w:val="single" w:sz="6" w:color="D9D9D9"/>
              <w:left w:val="single" w:sz="6" w:color="D9D9D9"/>
              <w:bottom w:val="single" w:sz="6" w:color="D9D9D9"/>
              <w:right w:val="single" w:sz="6" w:color="D9D9D9"/>
            </w:tcBorders>
            <w:shd w:fill="FFFFFF"/>
          </w:tcPr>
          <w:p>
            <w:pPr>
              <w:spacing w:after="120" w:before="120"/>
            </w:pPr>
            <w:r>
              <w:t>Identify a continent and an ocean</w:t>
            </w:r>
          </w:p>
        </w:tc>
        <w:tc>
          <w:tcPr>
            <w:tcW w:type="dxa" w:w="4535"/>
            <w:tcBorders>
              <w:top w:val="single" w:sz="6" w:color="D9D9D9"/>
              <w:left w:val="single" w:sz="6" w:color="D9D9D9"/>
              <w:bottom w:val="single" w:sz="6" w:color="D9D9D9"/>
              <w:right w:val="single" w:sz="6" w:color="D9D9D9"/>
            </w:tcBorders>
            <w:shd w:fill="FFFFFF"/>
          </w:tcPr>
          <w:p>
            <w:pPr>
              <w:spacing w:after="120" w:before="120"/>
            </w:pPr>
            <w:r>
              <w:br/>
              <w:br/>
            </w:r>
          </w:p>
        </w:tc>
        <w:tc>
          <w:tcPr>
            <w:tcW w:type="dxa" w:w="2438"/>
            <w:tcBorders>
              <w:top w:val="single" w:sz="6" w:color="D9D9D9"/>
              <w:left w:val="single" w:sz="6" w:color="D9D9D9"/>
              <w:bottom w:val="single" w:sz="6" w:color="D9D9D9"/>
              <w:right w:val="single" w:sz="6" w:color="D9D9D9"/>
            </w:tcBorders>
            <w:shd w:fill="FFFFFF"/>
          </w:tcPr>
          <w:p>
            <w:pPr>
              <w:spacing w:after="120" w:before="120"/>
            </w:pPr>
            <w:r>
              <w:br/>
              <w:br/>
            </w:r>
          </w:p>
        </w:tc>
      </w:tr>
    </w:tbl>
    <w:p>
      <w:r>
        <w:t>If the observation was classroom practice, record it as practice and record outdoor participation separately as not yet evidenced. Follow up missing evidence; do not infer it from the class product.</w:t>
      </w:r>
    </w:p>
    <w:p>
      <w:r>
        <w:br w:type="page"/>
      </w:r>
    </w:p>
    <w:p>
      <w:pPr>
        <w:pStyle w:val="Heading1"/>
      </w:pPr>
      <w:r>
        <w:t>Lesson vocabulary</w:t>
      </w:r>
    </w:p>
    <w:p>
      <w:r>
        <w:t>Use these definitions with the lesson and knowledge organiser.</w:t>
      </w:r>
    </w:p>
    <w:p>
      <w:r>
        <w:rPr>
          <w:b/>
        </w:rPr>
        <w:t xml:space="preserve">feature — </w:t>
      </w:r>
      <w:r>
        <w:t>Something in a place, such as a tree, path or bench.</w:t>
      </w:r>
    </w:p>
    <w:p>
      <w:r>
        <w:rPr>
          <w:b/>
        </w:rPr>
        <w:t xml:space="preserve">symbol — </w:t>
      </w:r>
      <w:r>
        <w:t>A small sign used to stand for something on a map.</w:t>
      </w:r>
    </w:p>
    <w:p>
      <w:r>
        <w:rPr>
          <w:b/>
        </w:rPr>
        <w:t xml:space="preserve">key — </w:t>
      </w:r>
      <w:r>
        <w:t>A guide explaining the map’s symbols.</w:t>
      </w:r>
    </w:p>
    <w:p>
      <w:r>
        <w:rPr>
          <w:b/>
        </w:rPr>
        <w:t xml:space="preserve">evidence — </w:t>
      </w:r>
      <w:r>
        <w:t>An observation or checked source that supports a map entry.</w:t>
      </w:r>
    </w:p>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Arial" w:hAnsi="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