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notes and answers</w:t>
      </w:r>
    </w:p>
    <w:p>
      <w:pPr>
        <w:pStyle w:val="Subtitle"/>
      </w:pPr>
      <w:r>
        <w:t>Fieldwork in our grounds | BUILD_SU1_W04 | STAFF ONLY</w:t>
      </w:r>
    </w:p>
    <w:p>
      <w:pPr>
        <w:pStyle w:val="Heading1"/>
      </w:pPr>
      <w:r>
        <w:t>Scheme of work alignment</w:t>
      </w:r>
    </w:p>
    <w:p>
      <w:r>
        <w:t>Outcome: Carry out simple fieldwork in the grounds.</w:t>
      </w:r>
    </w:p>
    <w:p>
      <w:r>
        <w:t>Teaching and application: Agree an enquiry and roles; model tallying. Collect observations safely and record results clearly for later analysis.</w:t>
      </w:r>
    </w:p>
    <w:p>
      <w:r>
        <w:t>Assessment: F: method, safe participation and accurate recording.</w:t>
      </w:r>
    </w:p>
    <w:p>
      <w:r>
        <w:t>Metadata: absolute_week 30; sow_page 30; assessment_mode false. Source document: Humanities Scheme of Work 2026–27(1).docx, physical page 12, BUILD Summer 1. No approved UAS unit code is supplied.</w:t>
      </w:r>
    </w:p>
    <w:p>
      <w:pPr>
        <w:pStyle w:val="Heading1"/>
      </w:pPr>
      <w:r>
        <w:t>Preparation</w:t>
      </w:r>
    </w:p>
    <w:p>
      <w:r>
        <w:t>Before teaching, an adult checks an accessible route: classroom to study area A, then area B, then classroom. All stops stay inside the school grounds, away from roads, vehicle movements, water and out-of-bounds areas. Mark two non-overlapping counting areas and boundaries on the route sheet. Keep the group supervised under school arrangements. Count fixed features only; take no photos of people and collect no personal details. If conditions or staffing prevent fieldwork, use the supplied PRACTICE tally indoors and record that fieldwork participation is not evidenced.</w:t>
      </w:r>
    </w:p>
    <w:p>
      <w:pPr>
        <w:pStyle w:val="Heading1"/>
      </w:pPr>
      <w:r>
        <w:t>Access and feedback</w:t>
      </w:r>
    </w:p>
    <w:p>
      <w:r>
        <w:t>Give one instruction at a time. Offer pointing, speech, drawing, typing or writing. Use a reduced choice set if needed. Keep communication support and fade content prompts before the individual check.</w:t>
      </w:r>
    </w:p>
    <w:p>
      <w:r>
        <w:t>Offer a predictable route preview, a quiet adult-supported role, a seated accessible observation point if appropriate, and an agreed return-to-class option. Use the indoor practice route if needed.</w:t>
      </w:r>
    </w:p>
    <w:p>
      <w:r>
        <w:t>Print only the chosen arrival and independent routes. Keep staff answers separate. Use a private response, read aloud, point, speak, draw or write. Record content prompting separately from access support.</w:t>
      </w:r>
    </w:p>
    <w:p>
      <w:r>
        <w:br w:type="page"/>
      </w:r>
    </w:p>
    <w:p>
      <w:pPr>
        <w:pStyle w:val="Title"/>
      </w:pPr>
      <w:r>
        <w:t>Teaching sequence</w:t>
      </w:r>
    </w:p>
    <w:p>
      <w:pPr>
        <w:pStyle w:val="Subtitle"/>
      </w:pPr>
      <w:r>
        <w:t>Nine stages | 40 minutes, with flexible pauses</w:t>
      </w:r>
    </w:p>
    <w:tbl>
      <w:tblPr>
        <w:tblW w:type="auto" w:w="0"/>
        <w:tblLayout w:type="fixed"/>
        <w:tblLook w:firstColumn="1" w:firstRow="1" w:lastColumn="0" w:lastRow="0" w:noHBand="0" w:noVBand="1" w:val="04A0"/>
      </w:tblPr>
      <w:tblGrid>
        <w:gridCol w:w="1984"/>
        <w:gridCol w:w="850"/>
        <w:gridCol w:w="6803"/>
      </w:tblGrid>
      <w:tr>
        <w:tc>
          <w:tcPr>
            <w:tcW w:type="dxa" w:w="1984"/>
            <w:tcBorders>
              <w:top w:val="single" w:sz="6" w:color="D9D9D9"/>
              <w:left w:val="single" w:sz="6" w:color="D9D9D9"/>
              <w:bottom w:val="single" w:sz="6" w:color="D9D9D9"/>
              <w:right w:val="single" w:sz="6" w:color="D9D9D9"/>
            </w:tcBorders>
            <w:shd w:fill="E4EDF2"/>
          </w:tcPr>
          <w:p>
            <w:pPr>
              <w:spacing w:after="120" w:before="120"/>
            </w:pPr>
            <w:r>
              <w:rPr>
                <w:b/>
              </w:rPr>
              <w:t>Stage</w:t>
            </w:r>
          </w:p>
        </w:tc>
        <w:tc>
          <w:tcPr>
            <w:tcW w:type="dxa" w:w="850"/>
            <w:tcBorders>
              <w:top w:val="single" w:sz="6" w:color="D9D9D9"/>
              <w:left w:val="single" w:sz="6" w:color="D9D9D9"/>
              <w:bottom w:val="single" w:sz="6" w:color="D9D9D9"/>
              <w:right w:val="single" w:sz="6" w:color="D9D9D9"/>
            </w:tcBorders>
            <w:shd w:fill="E4EDF2"/>
          </w:tcPr>
          <w:p>
            <w:r>
              <w:t>Min</w:t>
            </w:r>
          </w:p>
        </w:tc>
        <w:tc>
          <w:tcPr>
            <w:tcW w:type="dxa" w:w="6803"/>
            <w:tcBorders>
              <w:top w:val="single" w:sz="6" w:color="D9D9D9"/>
              <w:left w:val="single" w:sz="6" w:color="D9D9D9"/>
              <w:bottom w:val="single" w:sz="6" w:color="D9D9D9"/>
              <w:right w:val="single" w:sz="6" w:color="D9D9D9"/>
            </w:tcBorders>
            <w:shd w:fill="E4EDF2"/>
          </w:tcPr>
          <w:p>
            <w:pPr>
              <w:spacing w:after="120" w:before="120"/>
            </w:pPr>
            <w:r>
              <w:rPr>
                <w:b/>
              </w:rPr>
              <w:t>Teaching and next attempt</w:t>
            </w:r>
          </w:p>
        </w:tc>
      </w:tr>
      <w:tr>
        <w:tc>
          <w:tcPr>
            <w:tcW w:type="dxa" w:w="1984"/>
            <w:tcBorders>
              <w:top w:val="single" w:sz="6" w:color="D9D9D9"/>
              <w:left w:val="single" w:sz="6" w:color="D9D9D9"/>
              <w:bottom w:val="single" w:sz="6" w:color="D9D9D9"/>
              <w:right w:val="single" w:sz="6" w:color="D9D9D9"/>
            </w:tcBorders>
            <w:shd w:fill="FFFFFF"/>
          </w:tcPr>
          <w:p>
            <w:pPr>
              <w:spacing w:after="120" w:before="120"/>
            </w:pPr>
            <w:r>
              <w:t>Opening</w:t>
            </w:r>
          </w:p>
        </w:tc>
        <w:tc>
          <w:tcPr>
            <w:tcW w:type="dxa" w:w="850"/>
            <w:tcBorders>
              <w:top w:val="single" w:sz="6" w:color="D9D9D9"/>
              <w:left w:val="single" w:sz="6" w:color="D9D9D9"/>
              <w:bottom w:val="single" w:sz="6" w:color="D9D9D9"/>
              <w:right w:val="single" w:sz="6" w:color="D9D9D9"/>
            </w:tcBorders>
            <w:shd w:fill="FFFFFF"/>
          </w:tcPr>
          <w:p>
            <w:pPr>
              <w:spacing w:after="120" w:before="120"/>
            </w:pPr>
            <w:r>
              <w:t>0</w:t>
            </w:r>
          </w:p>
        </w:tc>
        <w:tc>
          <w:tcPr>
            <w:tcW w:type="dxa" w:w="6803"/>
            <w:tcBorders>
              <w:top w:val="single" w:sz="6" w:color="D9D9D9"/>
              <w:left w:val="single" w:sz="6" w:color="D9D9D9"/>
              <w:bottom w:val="single" w:sz="6" w:color="D9D9D9"/>
              <w:right w:val="single" w:sz="6" w:color="D9D9D9"/>
            </w:tcBorders>
            <w:shd w:fill="FFFFFF"/>
          </w:tcPr>
          <w:p>
            <w:pPr>
              <w:spacing w:after="120" w:before="120"/>
            </w:pPr>
            <w:r>
              <w:t>Carry out simple fieldwork in the grounds.</w:t>
            </w:r>
          </w:p>
        </w:tc>
      </w:tr>
      <w:tr>
        <w:tc>
          <w:tcPr>
            <w:tcW w:type="dxa" w:w="1984"/>
            <w:tcBorders>
              <w:top w:val="single" w:sz="6" w:color="D9D9D9"/>
              <w:left w:val="single" w:sz="6" w:color="D9D9D9"/>
              <w:bottom w:val="single" w:sz="6" w:color="D9D9D9"/>
              <w:right w:val="single" w:sz="6" w:color="D9D9D9"/>
            </w:tcBorders>
            <w:shd w:fill="F4F7F9"/>
          </w:tcPr>
          <w:p>
            <w:pPr>
              <w:spacing w:after="120" w:before="120"/>
            </w:pPr>
            <w:r>
              <w:t>Arrival</w:t>
            </w:r>
          </w:p>
        </w:tc>
        <w:tc>
          <w:tcPr>
            <w:tcW w:type="dxa" w:w="850"/>
            <w:tcBorders>
              <w:top w:val="single" w:sz="6" w:color="D9D9D9"/>
              <w:left w:val="single" w:sz="6" w:color="D9D9D9"/>
              <w:bottom w:val="single" w:sz="6" w:color="D9D9D9"/>
              <w:right w:val="single" w:sz="6" w:color="D9D9D9"/>
            </w:tcBorders>
            <w:shd w:fill="F4F7F9"/>
          </w:tcPr>
          <w:p>
            <w:pPr>
              <w:spacing w:after="120" w:before="120"/>
            </w:pPr>
            <w:r>
              <w:t>4</w:t>
            </w:r>
          </w:p>
        </w:tc>
        <w:tc>
          <w:tcPr>
            <w:tcW w:type="dxa" w:w="6803"/>
            <w:tcBorders>
              <w:top w:val="single" w:sz="6" w:color="D9D9D9"/>
              <w:left w:val="single" w:sz="6" w:color="D9D9D9"/>
              <w:bottom w:val="single" w:sz="6" w:color="D9D9D9"/>
              <w:right w:val="single" w:sz="6" w:color="D9D9D9"/>
            </w:tcBorders>
            <w:shd w:fill="F4F7F9"/>
          </w:tcPr>
          <w:p>
            <w:pPr>
              <w:spacing w:after="120" w:before="120"/>
            </w:pPr>
            <w:r>
              <w:t>Offer two choices, model one example and recheck with a new one.</w:t>
            </w:r>
          </w:p>
        </w:tc>
      </w:tr>
      <w:tr>
        <w:tc>
          <w:tcPr>
            <w:tcW w:type="dxa" w:w="1984"/>
            <w:tcBorders>
              <w:top w:val="single" w:sz="6" w:color="D9D9D9"/>
              <w:left w:val="single" w:sz="6" w:color="D9D9D9"/>
              <w:bottom w:val="single" w:sz="6" w:color="D9D9D9"/>
              <w:right w:val="single" w:sz="6" w:color="D9D9D9"/>
            </w:tcBorders>
            <w:shd w:fill="FFFFFF"/>
          </w:tcPr>
          <w:p>
            <w:pPr>
              <w:spacing w:after="120" w:before="120"/>
            </w:pPr>
            <w:r>
              <w:t>Starter</w:t>
            </w:r>
          </w:p>
        </w:tc>
        <w:tc>
          <w:tcPr>
            <w:tcW w:type="dxa" w:w="850"/>
            <w:tcBorders>
              <w:top w:val="single" w:sz="6" w:color="D9D9D9"/>
              <w:left w:val="single" w:sz="6" w:color="D9D9D9"/>
              <w:bottom w:val="single" w:sz="6" w:color="D9D9D9"/>
              <w:right w:val="single" w:sz="6" w:color="D9D9D9"/>
            </w:tcBorders>
            <w:shd w:fill="FFFFFF"/>
          </w:tcPr>
          <w:p>
            <w:pPr>
              <w:spacing w:after="120" w:before="120"/>
            </w:pPr>
            <w:r>
              <w:t>3</w:t>
            </w:r>
          </w:p>
        </w:tc>
        <w:tc>
          <w:tcPr>
            <w:tcW w:type="dxa" w:w="6803"/>
            <w:tcBorders>
              <w:top w:val="single" w:sz="6" w:color="D9D9D9"/>
              <w:left w:val="single" w:sz="6" w:color="D9D9D9"/>
              <w:bottom w:val="single" w:sz="6" w:color="D9D9D9"/>
              <w:right w:val="single" w:sz="6" w:color="D9D9D9"/>
            </w:tcBorders>
            <w:shd w:fill="FFFFFF"/>
          </w:tcPr>
          <w:p>
            <w:pPr>
              <w:spacing w:after="120" w:before="120"/>
            </w:pPr>
            <w:r>
              <w:t>Ask for one observation or label, then hear the revised response.</w:t>
            </w:r>
          </w:p>
        </w:tc>
      </w:tr>
      <w:tr>
        <w:tc>
          <w:tcPr>
            <w:tcW w:type="dxa" w:w="1984"/>
            <w:tcBorders>
              <w:top w:val="single" w:sz="6" w:color="D9D9D9"/>
              <w:left w:val="single" w:sz="6" w:color="D9D9D9"/>
              <w:bottom w:val="single" w:sz="6" w:color="D9D9D9"/>
              <w:right w:val="single" w:sz="6" w:color="D9D9D9"/>
            </w:tcBorders>
            <w:shd w:fill="F4F7F9"/>
          </w:tcPr>
          <w:p>
            <w:pPr>
              <w:spacing w:after="120" w:before="120"/>
            </w:pPr>
            <w:r>
              <w:t>I do</w:t>
            </w:r>
          </w:p>
        </w:tc>
        <w:tc>
          <w:tcPr>
            <w:tcW w:type="dxa" w:w="850"/>
            <w:tcBorders>
              <w:top w:val="single" w:sz="6" w:color="D9D9D9"/>
              <w:left w:val="single" w:sz="6" w:color="D9D9D9"/>
              <w:bottom w:val="single" w:sz="6" w:color="D9D9D9"/>
              <w:right w:val="single" w:sz="6" w:color="D9D9D9"/>
            </w:tcBorders>
            <w:shd w:fill="F4F7F9"/>
          </w:tcPr>
          <w:p>
            <w:pPr>
              <w:spacing w:after="120" w:before="120"/>
            </w:pPr>
            <w:r>
              <w:t>6</w:t>
            </w:r>
          </w:p>
        </w:tc>
        <w:tc>
          <w:tcPr>
            <w:tcW w:type="dxa" w:w="6803"/>
            <w:tcBorders>
              <w:top w:val="single" w:sz="6" w:color="D9D9D9"/>
              <w:left w:val="single" w:sz="6" w:color="D9D9D9"/>
              <w:bottom w:val="single" w:sz="6" w:color="D9D9D9"/>
              <w:right w:val="single" w:sz="6" w:color="D9D9D9"/>
            </w:tcBorders>
            <w:shd w:fill="F4F7F9"/>
          </w:tcPr>
          <w:p>
            <w:pPr>
              <w:spacing w:after="120" w:before="120"/>
            </w:pPr>
            <w:r>
              <w:t>Pause after each model step and invite a check.</w:t>
            </w:r>
          </w:p>
        </w:tc>
      </w:tr>
      <w:tr>
        <w:tc>
          <w:tcPr>
            <w:tcW w:type="dxa" w:w="1984"/>
            <w:tcBorders>
              <w:top w:val="single" w:sz="6" w:color="D9D9D9"/>
              <w:left w:val="single" w:sz="6" w:color="D9D9D9"/>
              <w:bottom w:val="single" w:sz="6" w:color="D9D9D9"/>
              <w:right w:val="single" w:sz="6" w:color="D9D9D9"/>
            </w:tcBorders>
            <w:shd w:fill="FFFFFF"/>
          </w:tcPr>
          <w:p>
            <w:pPr>
              <w:spacing w:after="120" w:before="120"/>
            </w:pPr>
            <w:r>
              <w:t>We do</w:t>
            </w:r>
          </w:p>
        </w:tc>
        <w:tc>
          <w:tcPr>
            <w:tcW w:type="dxa" w:w="850"/>
            <w:tcBorders>
              <w:top w:val="single" w:sz="6" w:color="D9D9D9"/>
              <w:left w:val="single" w:sz="6" w:color="D9D9D9"/>
              <w:bottom w:val="single" w:sz="6" w:color="D9D9D9"/>
              <w:right w:val="single" w:sz="6" w:color="D9D9D9"/>
            </w:tcBorders>
            <w:shd w:fill="FFFFFF"/>
          </w:tcPr>
          <w:p>
            <w:pPr>
              <w:spacing w:after="120" w:before="120"/>
            </w:pPr>
            <w:r>
              <w:t>7</w:t>
            </w:r>
          </w:p>
        </w:tc>
        <w:tc>
          <w:tcPr>
            <w:tcW w:type="dxa" w:w="6803"/>
            <w:tcBorders>
              <w:top w:val="single" w:sz="6" w:color="D9D9D9"/>
              <w:left w:val="single" w:sz="6" w:color="D9D9D9"/>
              <w:bottom w:val="single" w:sz="6" w:color="D9D9D9"/>
              <w:right w:val="single" w:sz="6" w:color="D9D9D9"/>
            </w:tcBorders>
            <w:shd w:fill="FFFFFF"/>
          </w:tcPr>
          <w:p>
            <w:pPr>
              <w:spacing w:after="120" w:before="120"/>
            </w:pPr>
            <w:r>
              <w:t>Use the paired routine, swap roles and hear each learner’s reason.</w:t>
            </w:r>
          </w:p>
        </w:tc>
      </w:tr>
      <w:tr>
        <w:tc>
          <w:tcPr>
            <w:tcW w:type="dxa" w:w="1984"/>
            <w:tcBorders>
              <w:top w:val="single" w:sz="6" w:color="D9D9D9"/>
              <w:left w:val="single" w:sz="6" w:color="D9D9D9"/>
              <w:bottom w:val="single" w:sz="6" w:color="D9D9D9"/>
              <w:right w:val="single" w:sz="6" w:color="D9D9D9"/>
            </w:tcBorders>
            <w:shd w:fill="F4F7F9"/>
          </w:tcPr>
          <w:p>
            <w:pPr>
              <w:spacing w:after="120" w:before="120"/>
            </w:pPr>
            <w:r>
              <w:t>Check</w:t>
            </w:r>
          </w:p>
        </w:tc>
        <w:tc>
          <w:tcPr>
            <w:tcW w:type="dxa" w:w="850"/>
            <w:tcBorders>
              <w:top w:val="single" w:sz="6" w:color="D9D9D9"/>
              <w:left w:val="single" w:sz="6" w:color="D9D9D9"/>
              <w:bottom w:val="single" w:sz="6" w:color="D9D9D9"/>
              <w:right w:val="single" w:sz="6" w:color="D9D9D9"/>
            </w:tcBorders>
            <w:shd w:fill="F4F7F9"/>
          </w:tcPr>
          <w:p>
            <w:pPr>
              <w:spacing w:after="120" w:before="120"/>
            </w:pPr>
            <w:r>
              <w:t>2</w:t>
            </w:r>
          </w:p>
        </w:tc>
        <w:tc>
          <w:tcPr>
            <w:tcW w:type="dxa" w:w="6803"/>
            <w:tcBorders>
              <w:top w:val="single" w:sz="6" w:color="D9D9D9"/>
              <w:left w:val="single" w:sz="6" w:color="D9D9D9"/>
              <w:bottom w:val="single" w:sz="6" w:color="D9D9D9"/>
              <w:right w:val="single" w:sz="6" w:color="D9D9D9"/>
            </w:tcBorders>
            <w:shd w:fill="F4F7F9"/>
          </w:tcPr>
          <w:p>
            <w:pPr>
              <w:spacing w:after="120" w:before="120"/>
            </w:pPr>
            <w:r>
              <w:t>Ask the learner to repair the misconception and explain the change.</w:t>
            </w:r>
          </w:p>
        </w:tc>
      </w:tr>
      <w:tr>
        <w:tc>
          <w:tcPr>
            <w:tcW w:type="dxa" w:w="1984"/>
            <w:tcBorders>
              <w:top w:val="single" w:sz="6" w:color="D9D9D9"/>
              <w:left w:val="single" w:sz="6" w:color="D9D9D9"/>
              <w:bottom w:val="single" w:sz="6" w:color="D9D9D9"/>
              <w:right w:val="single" w:sz="6" w:color="D9D9D9"/>
            </w:tcBorders>
            <w:shd w:fill="FFFFFF"/>
          </w:tcPr>
          <w:p>
            <w:pPr>
              <w:spacing w:after="120" w:before="120"/>
            </w:pPr>
            <w:r>
              <w:t>Independent</w:t>
            </w:r>
          </w:p>
        </w:tc>
        <w:tc>
          <w:tcPr>
            <w:tcW w:type="dxa" w:w="850"/>
            <w:tcBorders>
              <w:top w:val="single" w:sz="6" w:color="D9D9D9"/>
              <w:left w:val="single" w:sz="6" w:color="D9D9D9"/>
              <w:bottom w:val="single" w:sz="6" w:color="D9D9D9"/>
              <w:right w:val="single" w:sz="6" w:color="D9D9D9"/>
            </w:tcBorders>
            <w:shd w:fill="FFFFFF"/>
          </w:tcPr>
          <w:p>
            <w:pPr>
              <w:spacing w:after="120" w:before="120"/>
            </w:pPr>
            <w:r>
              <w:t>12</w:t>
            </w:r>
          </w:p>
        </w:tc>
        <w:tc>
          <w:tcPr>
            <w:tcW w:type="dxa" w:w="6803"/>
            <w:tcBorders>
              <w:top w:val="single" w:sz="6" w:color="D9D9D9"/>
              <w:left w:val="single" w:sz="6" w:color="D9D9D9"/>
              <w:bottom w:val="single" w:sz="6" w:color="D9D9D9"/>
              <w:right w:val="single" w:sz="6" w:color="D9D9D9"/>
            </w:tcBorders>
            <w:shd w:fill="FFFFFF"/>
          </w:tcPr>
          <w:p>
            <w:pPr>
              <w:spacing w:after="120" w:before="120"/>
            </w:pPr>
            <w:r>
              <w:t>Keep access support while fading content prompts. Record each learner’s own response.</w:t>
            </w:r>
          </w:p>
        </w:tc>
      </w:tr>
      <w:tr>
        <w:tc>
          <w:tcPr>
            <w:tcW w:type="dxa" w:w="1984"/>
            <w:tcBorders>
              <w:top w:val="single" w:sz="6" w:color="D9D9D9"/>
              <w:left w:val="single" w:sz="6" w:color="D9D9D9"/>
              <w:bottom w:val="single" w:sz="6" w:color="D9D9D9"/>
              <w:right w:val="single" w:sz="6" w:color="D9D9D9"/>
            </w:tcBorders>
            <w:shd w:fill="F4F7F9"/>
          </w:tcPr>
          <w:p>
            <w:pPr>
              <w:spacing w:after="120" w:before="120"/>
            </w:pPr>
            <w:r>
              <w:t>Review</w:t>
            </w:r>
          </w:p>
        </w:tc>
        <w:tc>
          <w:tcPr>
            <w:tcW w:type="dxa" w:w="850"/>
            <w:tcBorders>
              <w:top w:val="single" w:sz="6" w:color="D9D9D9"/>
              <w:left w:val="single" w:sz="6" w:color="D9D9D9"/>
              <w:bottom w:val="single" w:sz="6" w:color="D9D9D9"/>
              <w:right w:val="single" w:sz="6" w:color="D9D9D9"/>
            </w:tcBorders>
            <w:shd w:fill="F4F7F9"/>
          </w:tcPr>
          <w:p>
            <w:pPr>
              <w:spacing w:after="120" w:before="120"/>
            </w:pPr>
            <w:r>
              <w:t>3</w:t>
            </w:r>
          </w:p>
        </w:tc>
        <w:tc>
          <w:tcPr>
            <w:tcW w:type="dxa" w:w="6803"/>
            <w:tcBorders>
              <w:top w:val="single" w:sz="6" w:color="D9D9D9"/>
              <w:left w:val="single" w:sz="6" w:color="D9D9D9"/>
              <w:bottom w:val="single" w:sz="6" w:color="D9D9D9"/>
              <w:right w:val="single" w:sz="6" w:color="D9D9D9"/>
            </w:tcBorders>
            <w:shd w:fill="F4F7F9"/>
          </w:tcPr>
          <w:p>
            <w:pPr>
              <w:spacing w:after="120" w:before="120"/>
            </w:pPr>
            <w:r>
              <w:t>Give one precise next step and time for the learner to act on it.</w:t>
            </w:r>
          </w:p>
        </w:tc>
      </w:tr>
      <w:tr>
        <w:tc>
          <w:tcPr>
            <w:tcW w:type="dxa" w:w="1984"/>
            <w:tcBorders>
              <w:top w:val="single" w:sz="6" w:color="D9D9D9"/>
              <w:left w:val="single" w:sz="6" w:color="D9D9D9"/>
              <w:bottom w:val="single" w:sz="6" w:color="D9D9D9"/>
              <w:right w:val="single" w:sz="6" w:color="D9D9D9"/>
            </w:tcBorders>
            <w:shd w:fill="FFFFFF"/>
          </w:tcPr>
          <w:p>
            <w:pPr>
              <w:spacing w:after="120" w:before="120"/>
            </w:pPr>
            <w:r>
              <w:t>Exit</w:t>
            </w:r>
          </w:p>
        </w:tc>
        <w:tc>
          <w:tcPr>
            <w:tcW w:type="dxa" w:w="850"/>
            <w:tcBorders>
              <w:top w:val="single" w:sz="6" w:color="D9D9D9"/>
              <w:left w:val="single" w:sz="6" w:color="D9D9D9"/>
              <w:bottom w:val="single" w:sz="6" w:color="D9D9D9"/>
              <w:right w:val="single" w:sz="6" w:color="D9D9D9"/>
            </w:tcBorders>
            <w:shd w:fill="FFFFFF"/>
          </w:tcPr>
          <w:p>
            <w:pPr>
              <w:spacing w:after="120" w:before="120"/>
            </w:pPr>
            <w:r>
              <w:t>3</w:t>
            </w:r>
          </w:p>
        </w:tc>
        <w:tc>
          <w:tcPr>
            <w:tcW w:type="dxa" w:w="6803"/>
            <w:tcBorders>
              <w:top w:val="single" w:sz="6" w:color="D9D9D9"/>
              <w:left w:val="single" w:sz="6" w:color="D9D9D9"/>
              <w:bottom w:val="single" w:sz="6" w:color="D9D9D9"/>
              <w:right w:val="single" w:sz="6" w:color="D9D9D9"/>
            </w:tcBorders>
            <w:shd w:fill="FFFFFF"/>
          </w:tcPr>
          <w:p>
            <w:pPr>
              <w:spacing w:after="120" w:before="120"/>
            </w:pPr>
            <w:r>
              <w:t>Use the individual response to choose a revisit, consolidation or extension.</w:t>
            </w:r>
          </w:p>
        </w:tc>
      </w:tr>
    </w:tbl>
    <w:p>
      <w:r>
        <w:br w:type="page"/>
      </w:r>
    </w:p>
    <w:p>
      <w:pPr>
        <w:pStyle w:val="Title"/>
      </w:pPr>
      <w:r>
        <w:t>Worked model and preparation</w:t>
      </w:r>
    </w:p>
    <w:p>
      <w:pPr>
        <w:pStyle w:val="Subtitle"/>
      </w:pPr>
      <w:r>
        <w:t>Read before teaching</w:t>
      </w:r>
    </w:p>
    <w:p>
      <w:r>
        <w:t>Question: How many benches are in practice area A?</w:t>
      </w:r>
    </w:p>
    <w:p>
      <w:r>
        <w:t>Evidence: The practice observation says two benches. I make one tally mark for each bench: | |.</w:t>
      </w:r>
    </w:p>
    <w:p>
      <w:r>
        <w:t>Explain: Two marks give a total of 2 benches. I record this in the A row.</w:t>
      </w:r>
    </w:p>
    <w:p>
      <w:r>
        <w:t>Check: Count the marks again. This is a practice example; our real grounds may differ.</w:t>
      </w:r>
    </w:p>
    <w:p>
      <w:pPr>
        <w:pStyle w:val="Heading1"/>
      </w:pPr>
      <w:r>
        <w:t>Practical setup</w:t>
      </w:r>
    </w:p>
    <w:p>
      <w:r>
        <w:t>Before the lesson, the responsible adult selects a short accessible route: classroom → Area A → Area B → classroom, entirely within the grounds. Mark two non-overlapping counting areas and the exact stopping points on the school’s own plan. Check weather, staffing, access, gates, vehicle movement, water and boundaries under school procedures. Agree who observes, records and checks. No independent wandering. No device outdoors and no photographs of people.</w:t>
      </w:r>
    </w:p>
    <w:p>
      <w:r>
        <w:t>The 12-minute independent stage includes walking and return: allow roughly 2 minutes out, 3 minutes at A, 3 at B, 2 back and 2 to total/check. Shorten the route or use one area for Supported. If this cannot be done safely within the time, use the supplied classroom practice tally; arrange real fieldwork separately.</w:t>
      </w:r>
    </w:p>
    <w:p>
      <w:pPr>
        <w:pStyle w:val="Heading1"/>
      </w:pPr>
      <w:r>
        <w:t>Complete before taking pupils out</w:t>
      </w:r>
    </w:p>
    <w:p>
      <w:r>
        <w:rPr>
          <w:b/>
        </w:rPr>
        <w:t>Adult-led route / Area A / Area B boundaries</w:t>
      </w:r>
    </w:p>
    <w:p>
      <w:r>
        <w:t>________________________________________________________________</w:t>
      </w:r>
    </w:p>
    <w:p>
      <w:r>
        <w:rPr>
          <w:b/>
        </w:rPr>
        <w:t>Access, weather and supervision checks completed</w:t>
      </w:r>
    </w:p>
    <w:p>
      <w:r>
        <w:t>________________________________________________________________</w:t>
      </w:r>
    </w:p>
    <w:p>
      <w:r>
        <w:rPr>
          <w:b/>
        </w:rPr>
        <w:t>Observer / recorder / checker roles</w:t>
      </w:r>
    </w:p>
    <w:p>
      <w:r>
        <w:t>________________________________________________________________</w:t>
      </w:r>
    </w:p>
    <w:p>
      <w:r>
        <w:br w:type="page"/>
      </w:r>
    </w:p>
    <w:p>
      <w:pPr>
        <w:pStyle w:val="Title"/>
      </w:pPr>
      <w:r>
        <w:t>Answers and checks</w:t>
      </w:r>
    </w:p>
    <w:p>
      <w:pPr>
        <w:pStyle w:val="Subtitle"/>
      </w:pPr>
      <w:r>
        <w:t>Staff only</w:t>
      </w:r>
    </w:p>
    <w:p>
      <w:pPr>
        <w:pStyle w:val="Heading2"/>
      </w:pPr>
      <w:r>
        <w:t>Arrival Supported</w:t>
      </w:r>
    </w:p>
    <w:p>
      <w:r>
        <w:t>1. One vertical stroke.</w:t>
      </w:r>
    </w:p>
    <w:p>
      <w:r>
        <w:t>2. 2.</w:t>
      </w:r>
    </w:p>
    <w:p>
      <w:r>
        <w:t>3. A bench.</w:t>
      </w:r>
    </w:p>
    <w:p>
      <w:r>
        <w:t>4. The supervising adult.</w:t>
      </w:r>
    </w:p>
    <w:p>
      <w:pPr>
        <w:pStyle w:val="Heading2"/>
      </w:pPr>
      <w:r>
        <w:t>Arrival Standard</w:t>
      </w:r>
    </w:p>
    <w:p>
      <w:r>
        <w:t>1. One object or observation.</w:t>
      </w:r>
    </w:p>
    <w:p>
      <w:r>
        <w:t>2. Three marks: | | |.</w:t>
      </w:r>
    </w:p>
    <w:p>
      <w:r>
        <w:t>3. So we know where the observations came from.</w:t>
      </w:r>
    </w:p>
    <w:p>
      <w:r>
        <w:t>4. Stay with the adult and follow the agreed alternative or return.</w:t>
      </w:r>
    </w:p>
    <w:p>
      <w:pPr>
        <w:pStyle w:val="Heading2"/>
      </w:pPr>
      <w:r>
        <w:t>Arrival Stretch</w:t>
      </w:r>
    </w:p>
    <w:p>
      <w:r>
        <w:t>1. A group of five tally marks.</w:t>
      </w:r>
    </w:p>
    <w:p>
      <w:r>
        <w:t>2. The recorded total would be too high.</w:t>
      </w:r>
    </w:p>
    <w:p>
      <w:r>
        <w:t>3. The same feature may be visible or included in both.</w:t>
      </w:r>
    </w:p>
    <w:p>
      <w:r>
        <w:t>4. No. It is invented practice data.</w:t>
      </w:r>
    </w:p>
    <w:p>
      <w:pPr>
        <w:pStyle w:val="Heading1"/>
      </w:pPr>
      <w:r>
        <w:t>Shared activity</w:t>
      </w:r>
    </w:p>
    <w:p>
      <w:r>
        <w:t>1. First: agree the question, route, boundaries and roles. Preparation comes before leaving the room.</w:t>
      </w:r>
    </w:p>
    <w:p>
      <w:r>
        <w:t>2. Next: look carefully in the agreed study area. Find a feature before recording it.</w:t>
      </w:r>
    </w:p>
    <w:p>
      <w:r>
        <w:t>3. Then: make one tally mark for each object seen. Record each object once.</w:t>
      </w:r>
    </w:p>
    <w:p>
      <w:r>
        <w:t>4. Finally: return to class, total the marks and check. Keep the labelled record for later use.</w:t>
      </w:r>
    </w:p>
    <w:p>
      <w:pPr>
        <w:pStyle w:val="Heading1"/>
      </w:pPr>
      <w:r>
        <w:t>Check the method</w:t>
      </w:r>
    </w:p>
    <w:p>
      <w:r>
        <w:t>Count that same tree once. Check the area boundaries and remove the extra mark. A new view is not a new tree.</w:t>
      </w:r>
    </w:p>
    <w:p>
      <w:r>
        <w:t>Practice tally answers: benches A 2, B 1, both 3; bins A 1, B 2, both 3; trees A 3, B 5, both 8. Count the fifth crossing stroke once. There are 14 objects altogether, but keep feature totals distinct.</w:t>
      </w:r>
    </w:p>
    <w:p>
      <w:r>
        <w:br w:type="page"/>
      </w:r>
    </w:p>
    <w:p>
      <w:pPr>
        <w:pStyle w:val="Title"/>
      </w:pPr>
      <w:r>
        <w:t>Assessment and feedback</w:t>
      </w:r>
    </w:p>
    <w:p>
      <w:pPr>
        <w:pStyle w:val="Subtitle"/>
      </w:pPr>
      <w:r>
        <w:t>Individual evidence and next steps</w:t>
      </w:r>
    </w:p>
    <w:p>
      <w:r>
        <w:t>Keep the paper tally and the learner’s own method check. Note safe participation and the support used. The indoor fallback can evidence tallying and checking, but not participation in fieldwork. Revisit the practical outcome when possible.</w:t>
      </w:r>
    </w:p>
    <w:p>
      <w:r>
        <w:t>Real totals depend on the checked study areas. For PRACTICE A: benches 2, bins 1, trees 3. PRACTICE B: benches 1, bins 2, trees 5. Across A and B: benches 3, bins 3, trees 8. The areas are separate. Do not record these as real school observations.</w:t>
      </w:r>
    </w:p>
    <w:p>
      <w:r>
        <w:t>Feedback cycle: name the successful step, identify one precise improvement, hear the learner’s response about support, then provide a fresh attempt. Use school feedback codes under current policy.</w:t>
      </w:r>
    </w:p>
    <w:p>
      <w:r>
        <w:rPr>
          <w:b/>
        </w:rPr>
        <w:t>Learner response and evidence source</w:t>
      </w:r>
    </w:p>
    <w:p>
      <w:r>
        <w:t>________________________________________________________________</w:t>
      </w:r>
    </w:p>
    <w:p>
      <w:r>
        <w:t>________________________________________________________________</w:t>
      </w:r>
    </w:p>
    <w:p>
      <w:r>
        <w:rPr>
          <w:b/>
        </w:rPr>
        <w:t>Support used / content prompts</w:t>
      </w:r>
    </w:p>
    <w:p>
      <w:r>
        <w:t>________________________________________________________________</w:t>
      </w:r>
    </w:p>
    <w:p>
      <w:r>
        <w:t>________________________________________________________________</w:t>
      </w:r>
    </w:p>
    <w:p>
      <w:r>
        <w:rPr>
          <w:b/>
        </w:rPr>
        <w:t>What is secure / what needs another attempt</w:t>
      </w:r>
    </w:p>
    <w:p>
      <w:r>
        <w:t>________________________________________________________________</w:t>
      </w:r>
    </w:p>
    <w:p>
      <w:r>
        <w:t>________________________________________________________________</w:t>
      </w:r>
    </w:p>
    <w:p>
      <w:r>
        <w:rPr>
          <w:b/>
        </w:rPr>
        <w:t>Agreed next step and fresh response</w:t>
      </w:r>
    </w:p>
    <w:p>
      <w:r>
        <w:t>________________________________________________________________</w:t>
      </w:r>
    </w:p>
    <w:p>
      <w:r>
        <w:t>________________________________________________________________</w:t>
      </w:r>
    </w:p>
    <w:p>
      <w:r>
        <w:br w:type="page"/>
      </w:r>
    </w:p>
    <w:p>
      <w:pPr>
        <w:pStyle w:val="Heading1"/>
      </w:pPr>
      <w:r>
        <w:t>Lesson vocabulary</w:t>
      </w:r>
    </w:p>
    <w:p>
      <w:r>
        <w:t>Use these definitions with the lesson and knowledge organiser.</w:t>
      </w:r>
    </w:p>
    <w:p>
      <w:r>
        <w:rPr>
          <w:b/>
        </w:rPr>
        <w:t xml:space="preserve">fieldwork — </w:t>
      </w:r>
      <w:r>
        <w:t>Finding out about a place by observing it there.</w:t>
      </w:r>
    </w:p>
    <w:p>
      <w:r>
        <w:rPr>
          <w:b/>
        </w:rPr>
        <w:t xml:space="preserve">observation — </w:t>
      </w:r>
      <w:r>
        <w:t>Something noticed by looking carefully.</w:t>
      </w:r>
    </w:p>
    <w:p>
      <w:r>
        <w:rPr>
          <w:b/>
        </w:rPr>
        <w:t xml:space="preserve">tally — </w:t>
      </w:r>
      <w:r>
        <w:t>One mark for each thing counted; group marks in fives.</w:t>
      </w:r>
    </w:p>
    <w:p>
      <w:r>
        <w:rPr>
          <w:b/>
        </w:rPr>
        <w:t xml:space="preserve">data — </w:t>
      </w:r>
      <w:r>
        <w:t>Information collected to answer a question.</w:t>
      </w:r>
    </w:p>
    <w:sectPr w:rsidR="00FC693F" w:rsidRPr="0006063C" w:rsidSect="00034616">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60"/>
      <w:outlineLvl w:val="2"/>
    </w:pPr>
    <w:rPr>
      <w:rFonts w:asciiTheme="majorHAnsi" w:eastAsiaTheme="majorEastAsia" w:hAnsiTheme="majorHAnsi" w:cstheme="majorBidi" w:ascii="Arial" w:hAnsi="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